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65" w:rsidRPr="001D0D65" w:rsidRDefault="001D0D65" w:rsidP="001D0D65">
      <w:pPr>
        <w:contextualSpacing/>
        <w:jc w:val="both"/>
        <w:rPr>
          <w:rFonts w:ascii="Verdana" w:hAnsi="Verdana"/>
          <w:b/>
          <w:sz w:val="22"/>
          <w:szCs w:val="22"/>
        </w:rPr>
      </w:pPr>
      <w:r w:rsidRPr="001D0D65">
        <w:rPr>
          <w:rFonts w:ascii="Verdana" w:hAnsi="Verdana"/>
          <w:b/>
          <w:sz w:val="22"/>
          <w:szCs w:val="22"/>
        </w:rPr>
        <w:t>OGGETTO: APPROVAZIONE PROGETTO DI AGGREGAZIONE SOCIETARIA I</w:t>
      </w:r>
      <w:r w:rsidRPr="001D0D65">
        <w:rPr>
          <w:rFonts w:ascii="Verdana" w:hAnsi="Verdana"/>
          <w:b/>
          <w:sz w:val="22"/>
          <w:szCs w:val="22"/>
        </w:rPr>
        <w:t>N</w:t>
      </w:r>
      <w:r w:rsidRPr="001D0D65">
        <w:rPr>
          <w:rFonts w:ascii="Verdana" w:hAnsi="Verdana"/>
          <w:b/>
          <w:sz w:val="22"/>
          <w:szCs w:val="22"/>
        </w:rPr>
        <w:t>TERESSANTE LARIO RETI HOLDING SPA E SOCIETA’ DA ESSA CONTROLLATE</w:t>
      </w:r>
    </w:p>
    <w:p w:rsidR="00426A98" w:rsidRDefault="00316F62" w:rsidP="00301405">
      <w:pPr>
        <w:pStyle w:val="Rientrocorpodeltesto"/>
        <w:tabs>
          <w:tab w:val="clear" w:pos="851"/>
          <w:tab w:val="left" w:pos="1134"/>
        </w:tabs>
        <w:ind w:left="1134" w:hanging="1134"/>
        <w:rPr>
          <w:rFonts w:ascii="Verdana" w:hAnsi="Verdana"/>
          <w:b/>
          <w:sz w:val="22"/>
          <w:szCs w:val="22"/>
        </w:rPr>
      </w:pPr>
      <w:r w:rsidRPr="001D0D65">
        <w:rPr>
          <w:rFonts w:ascii="Verdana" w:hAnsi="Verdana"/>
          <w:b/>
          <w:sz w:val="22"/>
          <w:szCs w:val="22"/>
        </w:rPr>
        <w:t xml:space="preserve"> </w:t>
      </w:r>
    </w:p>
    <w:p w:rsidR="00B812C6" w:rsidRPr="001D0D65" w:rsidRDefault="00B812C6" w:rsidP="00301405">
      <w:pPr>
        <w:pStyle w:val="Rientrocorpodeltesto"/>
        <w:tabs>
          <w:tab w:val="clear" w:pos="851"/>
          <w:tab w:val="left" w:pos="1134"/>
        </w:tabs>
        <w:ind w:left="1134" w:hanging="1134"/>
        <w:rPr>
          <w:rFonts w:ascii="Verdana" w:hAnsi="Verdana"/>
          <w:b/>
          <w:sz w:val="22"/>
          <w:szCs w:val="22"/>
        </w:rPr>
      </w:pPr>
      <w:r w:rsidRPr="00B812C6">
        <w:rPr>
          <w:rFonts w:ascii="Verdana" w:hAnsi="Verdana"/>
          <w:b/>
          <w:sz w:val="22"/>
          <w:szCs w:val="22"/>
          <w:highlight w:val="yellow"/>
        </w:rPr>
        <w:t>BOZZA PREDISPOSTA PER IL COMUNE DI LECCO</w:t>
      </w:r>
      <w:bookmarkStart w:id="0" w:name="_GoBack"/>
      <w:bookmarkEnd w:id="0"/>
    </w:p>
    <w:p w:rsidR="00426A98" w:rsidRPr="001D0D65" w:rsidRDefault="00426A98">
      <w:pPr>
        <w:jc w:val="both"/>
        <w:rPr>
          <w:rFonts w:ascii="Verdana" w:hAnsi="Verdana"/>
          <w:sz w:val="22"/>
          <w:szCs w:val="22"/>
        </w:rPr>
      </w:pPr>
    </w:p>
    <w:p w:rsidR="00426A98" w:rsidRPr="001D0D65" w:rsidRDefault="00804059" w:rsidP="0067665F">
      <w:pPr>
        <w:pStyle w:val="Rientrocorpodeltesto2"/>
        <w:ind w:firstLine="0"/>
        <w:rPr>
          <w:rFonts w:ascii="Verdana" w:hAnsi="Verdana"/>
          <w:sz w:val="22"/>
          <w:szCs w:val="22"/>
        </w:rPr>
      </w:pPr>
      <w:r w:rsidRPr="001D0D65">
        <w:rPr>
          <w:rFonts w:ascii="Verdana" w:hAnsi="Verdana"/>
          <w:sz w:val="22"/>
          <w:szCs w:val="22"/>
        </w:rPr>
        <w:t>Il Sindaco</w:t>
      </w:r>
      <w:r w:rsidR="00316F62" w:rsidRPr="001D0D65">
        <w:rPr>
          <w:rFonts w:ascii="Verdana" w:hAnsi="Verdana"/>
          <w:sz w:val="22"/>
          <w:szCs w:val="22"/>
        </w:rPr>
        <w:t xml:space="preserve"> </w:t>
      </w:r>
      <w:r w:rsidR="00426A98" w:rsidRPr="001D0D65">
        <w:rPr>
          <w:rFonts w:ascii="Verdana" w:hAnsi="Verdana"/>
          <w:sz w:val="22"/>
          <w:szCs w:val="22"/>
        </w:rPr>
        <w:t xml:space="preserve">illustra al </w:t>
      </w:r>
      <w:r w:rsidR="001178F8" w:rsidRPr="001D0D65">
        <w:rPr>
          <w:rFonts w:ascii="Verdana" w:hAnsi="Verdana"/>
          <w:sz w:val="22"/>
          <w:szCs w:val="22"/>
        </w:rPr>
        <w:t>Consiglio</w:t>
      </w:r>
      <w:r w:rsidR="00426A98" w:rsidRPr="001D0D65">
        <w:rPr>
          <w:rFonts w:ascii="Verdana" w:hAnsi="Verdana"/>
          <w:sz w:val="22"/>
          <w:szCs w:val="22"/>
        </w:rPr>
        <w:t xml:space="preserve"> comunale la seguente proposta di deliberazione:</w:t>
      </w:r>
    </w:p>
    <w:p w:rsidR="00426A98" w:rsidRPr="001D0D65" w:rsidRDefault="00426A98">
      <w:pPr>
        <w:pStyle w:val="Titolo2"/>
        <w:tabs>
          <w:tab w:val="clear" w:pos="1134"/>
        </w:tabs>
        <w:jc w:val="both"/>
        <w:rPr>
          <w:rFonts w:ascii="Verdana" w:hAnsi="Verdana"/>
          <w:b w:val="0"/>
          <w:sz w:val="22"/>
          <w:szCs w:val="22"/>
          <w:u w:val="none"/>
        </w:rPr>
      </w:pPr>
    </w:p>
    <w:p w:rsidR="00301405" w:rsidRPr="001D0D65" w:rsidRDefault="00301405" w:rsidP="00301405">
      <w:pPr>
        <w:rPr>
          <w:rFonts w:ascii="Verdana" w:hAnsi="Verdana"/>
          <w:sz w:val="22"/>
          <w:szCs w:val="22"/>
        </w:rPr>
      </w:pPr>
    </w:p>
    <w:p w:rsidR="00316F62" w:rsidRPr="001D0D65" w:rsidRDefault="00426A98" w:rsidP="001D0D65">
      <w:pPr>
        <w:pStyle w:val="Titolo2"/>
        <w:tabs>
          <w:tab w:val="clear" w:pos="1134"/>
        </w:tabs>
        <w:ind w:left="426" w:hanging="426"/>
        <w:jc w:val="both"/>
        <w:rPr>
          <w:rFonts w:ascii="Verdana" w:hAnsi="Verdana"/>
          <w:bCs/>
          <w:sz w:val="22"/>
          <w:szCs w:val="22"/>
          <w:u w:val="none"/>
        </w:rPr>
      </w:pPr>
      <w:r w:rsidRPr="001D0D65">
        <w:rPr>
          <w:rFonts w:ascii="Verdana" w:hAnsi="Verdana"/>
          <w:bCs/>
          <w:sz w:val="22"/>
          <w:szCs w:val="22"/>
          <w:u w:val="none"/>
        </w:rPr>
        <w:t>1.</w:t>
      </w:r>
      <w:r w:rsidRPr="001D0D65">
        <w:rPr>
          <w:rFonts w:ascii="Verdana" w:hAnsi="Verdana"/>
          <w:bCs/>
          <w:sz w:val="22"/>
          <w:szCs w:val="22"/>
          <w:u w:val="none"/>
        </w:rPr>
        <w:tab/>
        <w:t>CARATTERISTICHE PRINCIPALI</w:t>
      </w:r>
      <w:r w:rsidR="0029435D">
        <w:rPr>
          <w:rFonts w:ascii="Verdana" w:hAnsi="Verdana"/>
          <w:bCs/>
          <w:sz w:val="22"/>
          <w:szCs w:val="22"/>
          <w:u w:val="none"/>
        </w:rPr>
        <w:t xml:space="preserve"> – </w:t>
      </w:r>
      <w:r w:rsidR="00316F62" w:rsidRPr="001D0D65">
        <w:rPr>
          <w:rFonts w:ascii="Verdana" w:hAnsi="Verdana"/>
          <w:bCs/>
          <w:sz w:val="22"/>
          <w:szCs w:val="22"/>
          <w:u w:val="none"/>
        </w:rPr>
        <w:t>PRESUPPOSTI DI FATTO E DI DIRITTO</w:t>
      </w:r>
      <w:r w:rsidR="0029435D">
        <w:rPr>
          <w:rFonts w:ascii="Verdana" w:hAnsi="Verdana"/>
          <w:bCs/>
          <w:sz w:val="22"/>
          <w:szCs w:val="22"/>
          <w:u w:val="none"/>
        </w:rPr>
        <w:t xml:space="preserve"> – </w:t>
      </w:r>
      <w:r w:rsidR="001D0D65" w:rsidRPr="001D0D65">
        <w:rPr>
          <w:rFonts w:ascii="Verdana" w:hAnsi="Verdana"/>
          <w:bCs/>
          <w:sz w:val="22"/>
          <w:szCs w:val="22"/>
          <w:u w:val="none"/>
        </w:rPr>
        <w:t>MOTIVAZIONE</w:t>
      </w:r>
    </w:p>
    <w:p w:rsidR="00316F62" w:rsidRPr="001D0D65" w:rsidRDefault="00316F62" w:rsidP="00316F62">
      <w:pPr>
        <w:autoSpaceDE w:val="0"/>
        <w:autoSpaceDN w:val="0"/>
        <w:adjustRightInd w:val="0"/>
        <w:jc w:val="both"/>
        <w:rPr>
          <w:rFonts w:ascii="Verdana" w:hAnsi="Verdana"/>
          <w:bCs/>
          <w:sz w:val="22"/>
          <w:szCs w:val="22"/>
        </w:rPr>
      </w:pPr>
    </w:p>
    <w:p w:rsidR="00316F62" w:rsidRPr="001D0D65" w:rsidRDefault="00316F62" w:rsidP="00316F62">
      <w:pPr>
        <w:autoSpaceDE w:val="0"/>
        <w:autoSpaceDN w:val="0"/>
        <w:adjustRightInd w:val="0"/>
        <w:jc w:val="both"/>
        <w:rPr>
          <w:rFonts w:ascii="Verdana" w:hAnsi="Verdana"/>
          <w:bCs/>
          <w:sz w:val="22"/>
          <w:szCs w:val="22"/>
        </w:rPr>
      </w:pPr>
    </w:p>
    <w:p w:rsidR="009C70E0" w:rsidRPr="009C70E0" w:rsidRDefault="009C70E0" w:rsidP="009C70E0">
      <w:pPr>
        <w:jc w:val="both"/>
        <w:rPr>
          <w:rFonts w:ascii="Verdana" w:hAnsi="Verdana"/>
          <w:color w:val="000000"/>
          <w:sz w:val="22"/>
          <w:szCs w:val="22"/>
        </w:rPr>
      </w:pPr>
      <w:r w:rsidRPr="009C70E0">
        <w:rPr>
          <w:rFonts w:ascii="Verdana" w:hAnsi="Verdana"/>
          <w:sz w:val="22"/>
          <w:szCs w:val="22"/>
        </w:rPr>
        <w:t xml:space="preserve">Il Comune di </w:t>
      </w:r>
      <w:r w:rsidR="00C57DCC">
        <w:rPr>
          <w:rFonts w:ascii="Verdana" w:hAnsi="Verdana"/>
          <w:sz w:val="22"/>
          <w:szCs w:val="22"/>
        </w:rPr>
        <w:t>[</w:t>
      </w:r>
      <w:r w:rsidR="00C57DCC">
        <w:rPr>
          <w:rFonts w:ascii="Arial" w:eastAsia="Times New Roman" w:hAnsi="Arial" w:cs="Arial" w:hint="eastAsia"/>
          <w:sz w:val="22"/>
          <w:szCs w:val="22"/>
          <w:lang w:eastAsia="ja-JP"/>
        </w:rPr>
        <w:sym w:font="Wingdings" w:char="F06C"/>
      </w:r>
      <w:r w:rsidR="00C57DCC">
        <w:rPr>
          <w:rFonts w:ascii="Arial" w:eastAsia="Times New Roman" w:hAnsi="Arial" w:cs="Arial"/>
          <w:sz w:val="22"/>
          <w:szCs w:val="22"/>
          <w:lang w:eastAsia="ja-JP"/>
        </w:rPr>
        <w:t xml:space="preserve">] </w:t>
      </w:r>
      <w:r w:rsidRPr="009C70E0">
        <w:rPr>
          <w:rFonts w:ascii="Verdana" w:hAnsi="Verdana"/>
          <w:sz w:val="22"/>
          <w:szCs w:val="22"/>
        </w:rPr>
        <w:t>è socio di Lario Reti Holding S</w:t>
      </w:r>
      <w:r w:rsidR="00D033B5">
        <w:rPr>
          <w:rFonts w:ascii="Verdana" w:hAnsi="Verdana"/>
          <w:sz w:val="22"/>
          <w:szCs w:val="22"/>
        </w:rPr>
        <w:t>.</w:t>
      </w:r>
      <w:r w:rsidRPr="009C70E0">
        <w:rPr>
          <w:rFonts w:ascii="Verdana" w:hAnsi="Verdana"/>
          <w:sz w:val="22"/>
          <w:szCs w:val="22"/>
        </w:rPr>
        <w:t>p</w:t>
      </w:r>
      <w:r w:rsidR="00D033B5">
        <w:rPr>
          <w:rFonts w:ascii="Verdana" w:hAnsi="Verdana"/>
          <w:sz w:val="22"/>
          <w:szCs w:val="22"/>
        </w:rPr>
        <w:t>.A.</w:t>
      </w:r>
      <w:r w:rsidR="00D033B5" w:rsidRPr="009C70E0">
        <w:rPr>
          <w:rFonts w:ascii="Verdana" w:hAnsi="Verdana"/>
          <w:sz w:val="22"/>
          <w:szCs w:val="22"/>
        </w:rPr>
        <w:t xml:space="preserve"> </w:t>
      </w:r>
      <w:r w:rsidRPr="009C70E0">
        <w:rPr>
          <w:rFonts w:ascii="Verdana" w:hAnsi="Verdana"/>
          <w:sz w:val="22"/>
          <w:szCs w:val="22"/>
        </w:rPr>
        <w:t xml:space="preserve">(nel seguito anche LRH), </w:t>
      </w:r>
      <w:r>
        <w:rPr>
          <w:rFonts w:ascii="Verdana" w:hAnsi="Verdana"/>
          <w:sz w:val="22"/>
          <w:szCs w:val="22"/>
        </w:rPr>
        <w:t xml:space="preserve">di cui detiene una </w:t>
      </w:r>
      <w:r w:rsidRPr="009C70E0">
        <w:rPr>
          <w:rFonts w:ascii="Verdana" w:hAnsi="Verdana"/>
          <w:sz w:val="22"/>
          <w:szCs w:val="22"/>
        </w:rPr>
        <w:t xml:space="preserve">quota </w:t>
      </w:r>
      <w:r>
        <w:rPr>
          <w:rFonts w:ascii="Verdana" w:hAnsi="Verdana"/>
          <w:sz w:val="22"/>
          <w:szCs w:val="22"/>
        </w:rPr>
        <w:t xml:space="preserve">pari al </w:t>
      </w:r>
      <w:r w:rsidR="00C57DCC">
        <w:rPr>
          <w:rFonts w:ascii="Verdana" w:hAnsi="Verdana"/>
          <w:sz w:val="22"/>
          <w:szCs w:val="22"/>
        </w:rPr>
        <w:t>[</w:t>
      </w:r>
      <w:r w:rsidR="00C57DCC">
        <w:rPr>
          <w:rFonts w:ascii="Arial" w:eastAsia="Times New Roman" w:hAnsi="Arial" w:cs="Arial" w:hint="eastAsia"/>
          <w:sz w:val="22"/>
          <w:szCs w:val="22"/>
          <w:lang w:eastAsia="ja-JP"/>
        </w:rPr>
        <w:sym w:font="Wingdings" w:char="F06C"/>
      </w:r>
      <w:r w:rsidR="00C57DCC">
        <w:rPr>
          <w:rFonts w:ascii="Arial" w:eastAsia="Times New Roman" w:hAnsi="Arial" w:cs="Arial"/>
          <w:sz w:val="22"/>
          <w:szCs w:val="22"/>
          <w:lang w:eastAsia="ja-JP"/>
        </w:rPr>
        <w:t>]</w:t>
      </w:r>
      <w:r w:rsidR="009F0E9C">
        <w:rPr>
          <w:rFonts w:ascii="Arial" w:eastAsia="Times New Roman" w:hAnsi="Arial" w:cs="Arial"/>
          <w:sz w:val="22"/>
          <w:szCs w:val="22"/>
          <w:lang w:eastAsia="ja-JP"/>
        </w:rPr>
        <w:t xml:space="preserve"> </w:t>
      </w:r>
      <w:r w:rsidRPr="009C70E0">
        <w:rPr>
          <w:rFonts w:ascii="Verdana" w:hAnsi="Verdana"/>
          <w:b/>
          <w:sz w:val="22"/>
          <w:szCs w:val="22"/>
        </w:rPr>
        <w:t>%</w:t>
      </w:r>
      <w:r>
        <w:rPr>
          <w:rFonts w:ascii="Verdana" w:hAnsi="Verdana"/>
          <w:sz w:val="22"/>
          <w:szCs w:val="22"/>
        </w:rPr>
        <w:t xml:space="preserve"> </w:t>
      </w:r>
      <w:r w:rsidRPr="009C70E0">
        <w:rPr>
          <w:rFonts w:ascii="Verdana" w:hAnsi="Verdana"/>
          <w:sz w:val="22"/>
          <w:szCs w:val="22"/>
        </w:rPr>
        <w:t>del capitale sociale</w:t>
      </w:r>
      <w:r>
        <w:rPr>
          <w:rFonts w:ascii="Verdana" w:hAnsi="Verdana"/>
          <w:sz w:val="22"/>
          <w:szCs w:val="22"/>
        </w:rPr>
        <w:t>;</w:t>
      </w:r>
      <w:r w:rsidRPr="009C70E0">
        <w:rPr>
          <w:rFonts w:ascii="Verdana" w:hAnsi="Verdana"/>
          <w:color w:val="000000"/>
          <w:sz w:val="22"/>
          <w:szCs w:val="22"/>
        </w:rPr>
        <w:t xml:space="preserve"> la società LRH è la società co</w:t>
      </w:r>
      <w:r w:rsidRPr="009C70E0">
        <w:rPr>
          <w:rFonts w:ascii="Verdana" w:hAnsi="Verdana"/>
          <w:color w:val="000000"/>
          <w:sz w:val="22"/>
          <w:szCs w:val="22"/>
        </w:rPr>
        <w:t>n</w:t>
      </w:r>
      <w:r w:rsidRPr="009C70E0">
        <w:rPr>
          <w:rFonts w:ascii="Verdana" w:hAnsi="Verdana"/>
          <w:color w:val="000000"/>
          <w:sz w:val="22"/>
          <w:szCs w:val="22"/>
        </w:rPr>
        <w:t>trollante dell’omonimo gruppo (Gruppo Lario Reti).</w:t>
      </w:r>
    </w:p>
    <w:p w:rsidR="009C70E0" w:rsidRPr="009C70E0" w:rsidRDefault="009C70E0" w:rsidP="009C70E0">
      <w:pPr>
        <w:pStyle w:val="NormaleWeb"/>
        <w:jc w:val="both"/>
        <w:rPr>
          <w:rFonts w:ascii="Verdana" w:hAnsi="Verdana"/>
          <w:color w:val="000000"/>
          <w:sz w:val="22"/>
          <w:szCs w:val="22"/>
        </w:rPr>
      </w:pPr>
      <w:r w:rsidRPr="009C70E0">
        <w:rPr>
          <w:rFonts w:ascii="Verdana" w:hAnsi="Verdana"/>
          <w:color w:val="000000"/>
          <w:sz w:val="22"/>
          <w:szCs w:val="22"/>
        </w:rPr>
        <w:t xml:space="preserve">Il Gruppo Lario Reti ha per oggetto l’esercizio di servizi pubblici locali svolti in ambito sovra-comunale, vale a dire (i) il servizio idrico integrato esercitato direttamente dalla capogruppo LRH </w:t>
      </w:r>
      <w:r w:rsidR="00D033B5" w:rsidRPr="009C70E0">
        <w:rPr>
          <w:rFonts w:ascii="Verdana" w:hAnsi="Verdana"/>
          <w:sz w:val="22"/>
          <w:szCs w:val="22"/>
        </w:rPr>
        <w:t>S</w:t>
      </w:r>
      <w:r w:rsidR="00D033B5">
        <w:rPr>
          <w:rFonts w:ascii="Verdana" w:hAnsi="Verdana"/>
          <w:sz w:val="22"/>
          <w:szCs w:val="22"/>
        </w:rPr>
        <w:t>.</w:t>
      </w:r>
      <w:r w:rsidR="00D033B5" w:rsidRPr="009C70E0">
        <w:rPr>
          <w:rFonts w:ascii="Verdana" w:hAnsi="Verdana"/>
          <w:sz w:val="22"/>
          <w:szCs w:val="22"/>
        </w:rPr>
        <w:t>p</w:t>
      </w:r>
      <w:r w:rsidR="00D033B5">
        <w:rPr>
          <w:rFonts w:ascii="Verdana" w:hAnsi="Verdana"/>
          <w:sz w:val="22"/>
          <w:szCs w:val="22"/>
        </w:rPr>
        <w:t>.A.</w:t>
      </w:r>
      <w:r w:rsidRPr="009C70E0">
        <w:rPr>
          <w:rFonts w:ascii="Verdana" w:hAnsi="Verdana"/>
          <w:color w:val="000000"/>
          <w:sz w:val="22"/>
          <w:szCs w:val="22"/>
        </w:rPr>
        <w:t xml:space="preserve"> e (ii) il servizio di distribuzione del gas naturale, esercitato tramite Lario Reti Gas Srl, controllata con il 100% da LRH </w:t>
      </w:r>
      <w:r w:rsidR="00D033B5" w:rsidRPr="009C70E0">
        <w:rPr>
          <w:rFonts w:ascii="Verdana" w:hAnsi="Verdana"/>
          <w:sz w:val="22"/>
          <w:szCs w:val="22"/>
        </w:rPr>
        <w:t>S</w:t>
      </w:r>
      <w:r w:rsidR="00D033B5">
        <w:rPr>
          <w:rFonts w:ascii="Verdana" w:hAnsi="Verdana"/>
          <w:sz w:val="22"/>
          <w:szCs w:val="22"/>
        </w:rPr>
        <w:t>.</w:t>
      </w:r>
      <w:r w:rsidR="00D033B5" w:rsidRPr="009C70E0">
        <w:rPr>
          <w:rFonts w:ascii="Verdana" w:hAnsi="Verdana"/>
          <w:sz w:val="22"/>
          <w:szCs w:val="22"/>
        </w:rPr>
        <w:t>p</w:t>
      </w:r>
      <w:r w:rsidR="00D033B5">
        <w:rPr>
          <w:rFonts w:ascii="Verdana" w:hAnsi="Verdana"/>
          <w:sz w:val="22"/>
          <w:szCs w:val="22"/>
        </w:rPr>
        <w:t>.A.</w:t>
      </w:r>
      <w:r w:rsidRPr="009C70E0">
        <w:rPr>
          <w:rFonts w:ascii="Verdana" w:hAnsi="Verdana"/>
          <w:color w:val="000000"/>
          <w:sz w:val="22"/>
          <w:szCs w:val="22"/>
        </w:rPr>
        <w:t>. Inoltre, è attivo nei servizi energetici liberalizzati della vendita del gas e dell’energia elettrica ai clienti f</w:t>
      </w:r>
      <w:r w:rsidRPr="009C70E0">
        <w:rPr>
          <w:rFonts w:ascii="Verdana" w:hAnsi="Verdana"/>
          <w:color w:val="000000"/>
          <w:sz w:val="22"/>
          <w:szCs w:val="22"/>
        </w:rPr>
        <w:t>i</w:t>
      </w:r>
      <w:r w:rsidRPr="009C70E0">
        <w:rPr>
          <w:rFonts w:ascii="Verdana" w:hAnsi="Verdana"/>
          <w:color w:val="000000"/>
          <w:sz w:val="22"/>
          <w:szCs w:val="22"/>
        </w:rPr>
        <w:t>nali mediante Acel Service S</w:t>
      </w:r>
      <w:r w:rsidR="00D033B5">
        <w:rPr>
          <w:rFonts w:ascii="Verdana" w:hAnsi="Verdana"/>
          <w:color w:val="000000"/>
          <w:sz w:val="22"/>
          <w:szCs w:val="22"/>
        </w:rPr>
        <w:t>.</w:t>
      </w:r>
      <w:r w:rsidRPr="009C70E0">
        <w:rPr>
          <w:rFonts w:ascii="Verdana" w:hAnsi="Verdana"/>
          <w:color w:val="000000"/>
          <w:sz w:val="22"/>
          <w:szCs w:val="22"/>
        </w:rPr>
        <w:t>r</w:t>
      </w:r>
      <w:r w:rsidR="00D033B5">
        <w:rPr>
          <w:rFonts w:ascii="Verdana" w:hAnsi="Verdana"/>
          <w:color w:val="000000"/>
          <w:sz w:val="22"/>
          <w:szCs w:val="22"/>
        </w:rPr>
        <w:t>.</w:t>
      </w:r>
      <w:r w:rsidRPr="009C70E0">
        <w:rPr>
          <w:rFonts w:ascii="Verdana" w:hAnsi="Verdana"/>
          <w:color w:val="000000"/>
          <w:sz w:val="22"/>
          <w:szCs w:val="22"/>
        </w:rPr>
        <w:t>l</w:t>
      </w:r>
      <w:r w:rsidR="00D033B5">
        <w:rPr>
          <w:rFonts w:ascii="Verdana" w:hAnsi="Verdana"/>
          <w:color w:val="000000"/>
          <w:sz w:val="22"/>
          <w:szCs w:val="22"/>
        </w:rPr>
        <w:t>.</w:t>
      </w:r>
      <w:r w:rsidRPr="009C70E0">
        <w:rPr>
          <w:rFonts w:ascii="Verdana" w:hAnsi="Verdana"/>
          <w:color w:val="000000"/>
          <w:sz w:val="22"/>
          <w:szCs w:val="22"/>
        </w:rPr>
        <w:t xml:space="preserve"> (Acel Se</w:t>
      </w:r>
      <w:r w:rsidR="00127DF8">
        <w:rPr>
          <w:rFonts w:ascii="Verdana" w:hAnsi="Verdana"/>
          <w:color w:val="000000"/>
          <w:sz w:val="22"/>
          <w:szCs w:val="22"/>
        </w:rPr>
        <w:t>rvice), controllata con il 92,46</w:t>
      </w:r>
      <w:r w:rsidRPr="009C70E0">
        <w:rPr>
          <w:rFonts w:ascii="Verdana" w:hAnsi="Verdana"/>
          <w:color w:val="000000"/>
          <w:sz w:val="22"/>
          <w:szCs w:val="22"/>
        </w:rPr>
        <w:t>%, e AEVV Energie S</w:t>
      </w:r>
      <w:r w:rsidR="00D033B5">
        <w:rPr>
          <w:rFonts w:ascii="Verdana" w:hAnsi="Verdana"/>
          <w:color w:val="000000"/>
          <w:sz w:val="22"/>
          <w:szCs w:val="22"/>
        </w:rPr>
        <w:t>.</w:t>
      </w:r>
      <w:r w:rsidRPr="009C70E0">
        <w:rPr>
          <w:rFonts w:ascii="Verdana" w:hAnsi="Verdana"/>
          <w:color w:val="000000"/>
          <w:sz w:val="22"/>
          <w:szCs w:val="22"/>
        </w:rPr>
        <w:t>r</w:t>
      </w:r>
      <w:r w:rsidR="00D033B5">
        <w:rPr>
          <w:rFonts w:ascii="Verdana" w:hAnsi="Verdana"/>
          <w:color w:val="000000"/>
          <w:sz w:val="22"/>
          <w:szCs w:val="22"/>
        </w:rPr>
        <w:t>.</w:t>
      </w:r>
      <w:r w:rsidRPr="009C70E0">
        <w:rPr>
          <w:rFonts w:ascii="Verdana" w:hAnsi="Verdana"/>
          <w:color w:val="000000"/>
          <w:sz w:val="22"/>
          <w:szCs w:val="22"/>
        </w:rPr>
        <w:t>l</w:t>
      </w:r>
      <w:r w:rsidR="00D033B5">
        <w:rPr>
          <w:rFonts w:ascii="Verdana" w:hAnsi="Verdana"/>
          <w:color w:val="000000"/>
          <w:sz w:val="22"/>
          <w:szCs w:val="22"/>
        </w:rPr>
        <w:t>.</w:t>
      </w:r>
      <w:r w:rsidRPr="009C70E0">
        <w:rPr>
          <w:rFonts w:ascii="Verdana" w:hAnsi="Verdana"/>
          <w:color w:val="000000"/>
          <w:sz w:val="22"/>
          <w:szCs w:val="22"/>
        </w:rPr>
        <w:t xml:space="preserve"> (che opera nello stesso settore), della quale detiene una quota del 49%.</w:t>
      </w:r>
    </w:p>
    <w:p w:rsidR="001D0D65" w:rsidRDefault="009C70E0" w:rsidP="00A44412">
      <w:pPr>
        <w:pStyle w:val="NormaleWeb"/>
        <w:spacing w:before="0" w:beforeAutospacing="0" w:after="0" w:afterAutospacing="0"/>
        <w:jc w:val="both"/>
        <w:rPr>
          <w:rFonts w:ascii="Verdana" w:hAnsi="Verdana"/>
          <w:color w:val="000000"/>
          <w:sz w:val="22"/>
          <w:szCs w:val="22"/>
        </w:rPr>
      </w:pPr>
      <w:r>
        <w:rPr>
          <w:rFonts w:ascii="Verdana" w:hAnsi="Verdana"/>
          <w:color w:val="000000"/>
          <w:sz w:val="22"/>
          <w:szCs w:val="22"/>
        </w:rPr>
        <w:t>In sintesi</w:t>
      </w:r>
      <w:r w:rsidR="007A6A15">
        <w:rPr>
          <w:rFonts w:ascii="Verdana" w:hAnsi="Verdana"/>
          <w:color w:val="000000"/>
          <w:sz w:val="22"/>
          <w:szCs w:val="22"/>
        </w:rPr>
        <w:t>,</w:t>
      </w:r>
      <w:r>
        <w:rPr>
          <w:rFonts w:ascii="Verdana" w:hAnsi="Verdana"/>
          <w:color w:val="000000"/>
          <w:sz w:val="22"/>
          <w:szCs w:val="22"/>
        </w:rPr>
        <w:t xml:space="preserve"> </w:t>
      </w:r>
      <w:r w:rsidRPr="00B812C6">
        <w:rPr>
          <w:rFonts w:ascii="Verdana" w:hAnsi="Verdana"/>
          <w:color w:val="000000"/>
          <w:sz w:val="22"/>
          <w:szCs w:val="22"/>
          <w:highlight w:val="yellow"/>
        </w:rPr>
        <w:t>il Comune di Lecco</w:t>
      </w:r>
      <w:r w:rsidRPr="009C70E0">
        <w:rPr>
          <w:rFonts w:ascii="Verdana" w:hAnsi="Verdana"/>
          <w:color w:val="000000"/>
          <w:sz w:val="22"/>
          <w:szCs w:val="22"/>
        </w:rPr>
        <w:t xml:space="preserve"> partecipa indirettamente alle seguenti società:</w:t>
      </w:r>
    </w:p>
    <w:p w:rsidR="00A44412" w:rsidRPr="0004081A" w:rsidRDefault="00A44412" w:rsidP="00A44412">
      <w:pPr>
        <w:pStyle w:val="NormaleWeb"/>
        <w:spacing w:before="0" w:beforeAutospacing="0" w:after="0" w:afterAutospacing="0"/>
        <w:jc w:val="both"/>
        <w:rPr>
          <w:rFonts w:ascii="Verdana" w:hAnsi="Verdana"/>
          <w:sz w:val="12"/>
          <w:szCs w:val="12"/>
        </w:rPr>
      </w:pPr>
    </w:p>
    <w:tbl>
      <w:tblPr>
        <w:tblStyle w:val="Grigliatabella"/>
        <w:tblW w:w="0" w:type="auto"/>
        <w:jc w:val="center"/>
        <w:tblLook w:val="04A0" w:firstRow="1" w:lastRow="0" w:firstColumn="1" w:lastColumn="0" w:noHBand="0" w:noVBand="1"/>
      </w:tblPr>
      <w:tblGrid>
        <w:gridCol w:w="2764"/>
        <w:gridCol w:w="3013"/>
        <w:gridCol w:w="3119"/>
      </w:tblGrid>
      <w:tr w:rsidR="00455BD1" w:rsidRPr="008F6246" w:rsidTr="008F6246">
        <w:trPr>
          <w:jc w:val="center"/>
        </w:trPr>
        <w:tc>
          <w:tcPr>
            <w:tcW w:w="2764" w:type="dxa"/>
          </w:tcPr>
          <w:p w:rsidR="008F6246" w:rsidRDefault="008F6246" w:rsidP="00A44412">
            <w:pPr>
              <w:pStyle w:val="Corpotesto"/>
              <w:widowControl w:val="0"/>
              <w:tabs>
                <w:tab w:val="clear" w:pos="709"/>
              </w:tabs>
              <w:adjustRightInd w:val="0"/>
              <w:spacing w:line="276" w:lineRule="auto"/>
              <w:jc w:val="center"/>
              <w:textAlignment w:val="baseline"/>
              <w:rPr>
                <w:rFonts w:ascii="Verdana" w:hAnsi="Verdana"/>
                <w:sz w:val="22"/>
                <w:szCs w:val="22"/>
              </w:rPr>
            </w:pPr>
            <w:r>
              <w:rPr>
                <w:rFonts w:ascii="Verdana" w:hAnsi="Verdana"/>
                <w:sz w:val="22"/>
                <w:szCs w:val="22"/>
              </w:rPr>
              <w:t>Denominazione</w:t>
            </w:r>
          </w:p>
          <w:p w:rsidR="00455BD1" w:rsidRPr="008F6246" w:rsidRDefault="008F6246" w:rsidP="00A44412">
            <w:pPr>
              <w:pStyle w:val="Corpotesto"/>
              <w:widowControl w:val="0"/>
              <w:tabs>
                <w:tab w:val="clear" w:pos="709"/>
              </w:tabs>
              <w:adjustRightInd w:val="0"/>
              <w:spacing w:line="276" w:lineRule="auto"/>
              <w:jc w:val="center"/>
              <w:textAlignment w:val="baseline"/>
              <w:rPr>
                <w:rFonts w:ascii="Verdana" w:hAnsi="Verdana"/>
                <w:sz w:val="22"/>
                <w:szCs w:val="22"/>
              </w:rPr>
            </w:pPr>
            <w:r>
              <w:rPr>
                <w:rFonts w:ascii="Verdana" w:hAnsi="Verdana"/>
                <w:sz w:val="22"/>
                <w:szCs w:val="22"/>
              </w:rPr>
              <w:t>s</w:t>
            </w:r>
            <w:r w:rsidR="00455BD1" w:rsidRPr="008F6246">
              <w:rPr>
                <w:rFonts w:ascii="Verdana" w:hAnsi="Verdana"/>
                <w:sz w:val="22"/>
                <w:szCs w:val="22"/>
              </w:rPr>
              <w:t>ocietà</w:t>
            </w:r>
          </w:p>
        </w:tc>
        <w:tc>
          <w:tcPr>
            <w:tcW w:w="3013" w:type="dxa"/>
          </w:tcPr>
          <w:p w:rsidR="00455BD1" w:rsidRPr="008F6246" w:rsidRDefault="00455BD1" w:rsidP="00A44412">
            <w:pPr>
              <w:pStyle w:val="Corpotesto"/>
              <w:widowControl w:val="0"/>
              <w:tabs>
                <w:tab w:val="clear" w:pos="709"/>
              </w:tabs>
              <w:adjustRightInd w:val="0"/>
              <w:spacing w:line="276" w:lineRule="auto"/>
              <w:jc w:val="both"/>
              <w:textAlignment w:val="baseline"/>
              <w:rPr>
                <w:rFonts w:ascii="Verdana" w:hAnsi="Verdana"/>
                <w:sz w:val="22"/>
                <w:szCs w:val="22"/>
              </w:rPr>
            </w:pPr>
            <w:r w:rsidRPr="008F6246">
              <w:rPr>
                <w:rFonts w:ascii="Verdana" w:hAnsi="Verdana"/>
                <w:sz w:val="22"/>
                <w:szCs w:val="22"/>
              </w:rPr>
              <w:t xml:space="preserve">Quota di partecipazione </w:t>
            </w:r>
            <w:r w:rsidRPr="008F6246">
              <w:rPr>
                <w:rFonts w:ascii="Verdana" w:hAnsi="Verdana"/>
                <w:b/>
                <w:sz w:val="22"/>
                <w:szCs w:val="22"/>
              </w:rPr>
              <w:t>diretta</w:t>
            </w:r>
            <w:r w:rsidRPr="008F6246">
              <w:rPr>
                <w:rFonts w:ascii="Verdana" w:hAnsi="Verdana"/>
                <w:sz w:val="22"/>
                <w:szCs w:val="22"/>
              </w:rPr>
              <w:t xml:space="preserve"> da parte di Lario Reti Holding Spa</w:t>
            </w:r>
          </w:p>
        </w:tc>
        <w:tc>
          <w:tcPr>
            <w:tcW w:w="3119" w:type="dxa"/>
          </w:tcPr>
          <w:p w:rsidR="00455BD1" w:rsidRPr="008F6246" w:rsidRDefault="00455BD1" w:rsidP="00A44412">
            <w:pPr>
              <w:pStyle w:val="Corpotesto"/>
              <w:widowControl w:val="0"/>
              <w:tabs>
                <w:tab w:val="clear" w:pos="709"/>
              </w:tabs>
              <w:adjustRightInd w:val="0"/>
              <w:spacing w:line="276" w:lineRule="auto"/>
              <w:jc w:val="both"/>
              <w:textAlignment w:val="baseline"/>
              <w:rPr>
                <w:rFonts w:ascii="Verdana" w:hAnsi="Verdana"/>
                <w:sz w:val="22"/>
                <w:szCs w:val="22"/>
              </w:rPr>
            </w:pPr>
            <w:r w:rsidRPr="008F6246">
              <w:rPr>
                <w:rFonts w:ascii="Verdana" w:hAnsi="Verdana"/>
                <w:sz w:val="22"/>
                <w:szCs w:val="22"/>
              </w:rPr>
              <w:t xml:space="preserve">Quota di partecipazione </w:t>
            </w:r>
            <w:r w:rsidRPr="008F6246">
              <w:rPr>
                <w:rFonts w:ascii="Verdana" w:hAnsi="Verdana"/>
                <w:b/>
                <w:sz w:val="22"/>
                <w:szCs w:val="22"/>
              </w:rPr>
              <w:t>indiretta</w:t>
            </w:r>
            <w:r w:rsidRPr="008F6246">
              <w:rPr>
                <w:rFonts w:ascii="Verdana" w:hAnsi="Verdana"/>
                <w:sz w:val="22"/>
                <w:szCs w:val="22"/>
              </w:rPr>
              <w:t xml:space="preserve"> da parte del Comune di </w:t>
            </w:r>
            <w:r w:rsidR="009F0E9C">
              <w:rPr>
                <w:rFonts w:ascii="Verdana" w:hAnsi="Verdana"/>
                <w:sz w:val="22"/>
                <w:szCs w:val="22"/>
              </w:rPr>
              <w:t>[</w:t>
            </w:r>
            <w:r w:rsidR="009F0E9C">
              <w:rPr>
                <w:rFonts w:ascii="Arial" w:eastAsia="Times New Roman" w:hAnsi="Arial" w:cs="Arial" w:hint="eastAsia"/>
                <w:sz w:val="22"/>
                <w:szCs w:val="22"/>
                <w:lang w:eastAsia="ja-JP"/>
              </w:rPr>
              <w:sym w:font="Wingdings" w:char="F06C"/>
            </w:r>
            <w:r w:rsidR="009F0E9C">
              <w:rPr>
                <w:rFonts w:ascii="Arial" w:eastAsia="Times New Roman" w:hAnsi="Arial" w:cs="Arial"/>
                <w:sz w:val="22"/>
                <w:szCs w:val="22"/>
                <w:lang w:eastAsia="ja-JP"/>
              </w:rPr>
              <w:t>]</w:t>
            </w:r>
          </w:p>
        </w:tc>
      </w:tr>
      <w:tr w:rsidR="00455BD1" w:rsidRPr="008F6246" w:rsidTr="008F6246">
        <w:trPr>
          <w:jc w:val="center"/>
        </w:trPr>
        <w:tc>
          <w:tcPr>
            <w:tcW w:w="2764" w:type="dxa"/>
          </w:tcPr>
          <w:p w:rsidR="00455BD1" w:rsidRPr="008F6246" w:rsidRDefault="00455BD1" w:rsidP="00BC31DB">
            <w:pPr>
              <w:pStyle w:val="Corpotesto"/>
              <w:widowControl w:val="0"/>
              <w:tabs>
                <w:tab w:val="clear" w:pos="709"/>
              </w:tabs>
              <w:adjustRightInd w:val="0"/>
              <w:spacing w:line="276" w:lineRule="auto"/>
              <w:jc w:val="both"/>
              <w:textAlignment w:val="baseline"/>
              <w:rPr>
                <w:rFonts w:ascii="Verdana" w:hAnsi="Verdana"/>
                <w:sz w:val="22"/>
                <w:szCs w:val="22"/>
              </w:rPr>
            </w:pPr>
            <w:r w:rsidRPr="008F6246">
              <w:rPr>
                <w:rFonts w:ascii="Verdana" w:hAnsi="Verdana"/>
                <w:sz w:val="22"/>
                <w:szCs w:val="22"/>
              </w:rPr>
              <w:t xml:space="preserve">ACEL Service </w:t>
            </w:r>
            <w:r w:rsidR="008F6246">
              <w:rPr>
                <w:rFonts w:ascii="Verdana" w:hAnsi="Verdana"/>
                <w:sz w:val="22"/>
                <w:szCs w:val="22"/>
              </w:rPr>
              <w:t>Srl</w:t>
            </w:r>
          </w:p>
        </w:tc>
        <w:tc>
          <w:tcPr>
            <w:tcW w:w="3013" w:type="dxa"/>
          </w:tcPr>
          <w:p w:rsidR="00455BD1" w:rsidRPr="008F6246" w:rsidRDefault="00455BD1" w:rsidP="00BC31DB">
            <w:pPr>
              <w:pStyle w:val="Corpotesto"/>
              <w:widowControl w:val="0"/>
              <w:tabs>
                <w:tab w:val="clear" w:pos="709"/>
              </w:tabs>
              <w:adjustRightInd w:val="0"/>
              <w:spacing w:line="276" w:lineRule="auto"/>
              <w:jc w:val="center"/>
              <w:textAlignment w:val="baseline"/>
              <w:rPr>
                <w:rFonts w:ascii="Verdana" w:hAnsi="Verdana"/>
                <w:sz w:val="22"/>
                <w:szCs w:val="22"/>
              </w:rPr>
            </w:pPr>
            <w:r w:rsidRPr="008F6246">
              <w:rPr>
                <w:rFonts w:ascii="Verdana" w:hAnsi="Verdana"/>
                <w:sz w:val="22"/>
                <w:szCs w:val="22"/>
              </w:rPr>
              <w:t>92,46%</w:t>
            </w:r>
          </w:p>
        </w:tc>
        <w:tc>
          <w:tcPr>
            <w:tcW w:w="3119" w:type="dxa"/>
          </w:tcPr>
          <w:p w:rsidR="00455BD1" w:rsidRPr="008F6246" w:rsidRDefault="00455BD1" w:rsidP="00BC31DB">
            <w:pPr>
              <w:pStyle w:val="Corpotesto"/>
              <w:widowControl w:val="0"/>
              <w:tabs>
                <w:tab w:val="clear" w:pos="709"/>
              </w:tabs>
              <w:adjustRightInd w:val="0"/>
              <w:spacing w:line="276" w:lineRule="auto"/>
              <w:jc w:val="center"/>
              <w:textAlignment w:val="baseline"/>
              <w:rPr>
                <w:rFonts w:ascii="Verdana" w:hAnsi="Verdana"/>
                <w:sz w:val="22"/>
                <w:szCs w:val="22"/>
              </w:rPr>
            </w:pPr>
            <w:r w:rsidRPr="008F6246">
              <w:rPr>
                <w:rFonts w:ascii="Verdana" w:hAnsi="Verdana"/>
                <w:sz w:val="22"/>
                <w:szCs w:val="22"/>
              </w:rPr>
              <w:t>21,63%</w:t>
            </w:r>
          </w:p>
        </w:tc>
      </w:tr>
      <w:tr w:rsidR="00455BD1" w:rsidRPr="008F6246" w:rsidTr="008F6246">
        <w:trPr>
          <w:jc w:val="center"/>
        </w:trPr>
        <w:tc>
          <w:tcPr>
            <w:tcW w:w="2764" w:type="dxa"/>
          </w:tcPr>
          <w:p w:rsidR="00455BD1" w:rsidRPr="008F6246" w:rsidRDefault="00455BD1" w:rsidP="00BC31DB">
            <w:pPr>
              <w:pStyle w:val="Corpotesto"/>
              <w:widowControl w:val="0"/>
              <w:tabs>
                <w:tab w:val="clear" w:pos="709"/>
              </w:tabs>
              <w:adjustRightInd w:val="0"/>
              <w:spacing w:line="276" w:lineRule="auto"/>
              <w:jc w:val="both"/>
              <w:textAlignment w:val="baseline"/>
              <w:rPr>
                <w:rFonts w:ascii="Verdana" w:hAnsi="Verdana"/>
                <w:sz w:val="22"/>
                <w:szCs w:val="22"/>
              </w:rPr>
            </w:pPr>
            <w:r w:rsidRPr="008F6246">
              <w:rPr>
                <w:rFonts w:ascii="Verdana" w:hAnsi="Verdana"/>
                <w:sz w:val="22"/>
                <w:szCs w:val="22"/>
              </w:rPr>
              <w:t>Lario Reti GAS</w:t>
            </w:r>
            <w:r w:rsidR="008F6246">
              <w:rPr>
                <w:rFonts w:ascii="Verdana" w:hAnsi="Verdana"/>
                <w:sz w:val="22"/>
                <w:szCs w:val="22"/>
              </w:rPr>
              <w:t xml:space="preserve"> Srl</w:t>
            </w:r>
          </w:p>
        </w:tc>
        <w:tc>
          <w:tcPr>
            <w:tcW w:w="3013" w:type="dxa"/>
          </w:tcPr>
          <w:p w:rsidR="00455BD1" w:rsidRPr="008F6246" w:rsidRDefault="00455BD1" w:rsidP="00BC31DB">
            <w:pPr>
              <w:pStyle w:val="Corpotesto"/>
              <w:widowControl w:val="0"/>
              <w:tabs>
                <w:tab w:val="clear" w:pos="709"/>
              </w:tabs>
              <w:adjustRightInd w:val="0"/>
              <w:spacing w:line="276" w:lineRule="auto"/>
              <w:jc w:val="center"/>
              <w:textAlignment w:val="baseline"/>
              <w:rPr>
                <w:rFonts w:ascii="Verdana" w:hAnsi="Verdana"/>
                <w:sz w:val="22"/>
                <w:szCs w:val="22"/>
              </w:rPr>
            </w:pPr>
            <w:r w:rsidRPr="008F6246">
              <w:rPr>
                <w:rFonts w:ascii="Verdana" w:hAnsi="Verdana"/>
                <w:sz w:val="22"/>
                <w:szCs w:val="22"/>
              </w:rPr>
              <w:t>100%</w:t>
            </w:r>
          </w:p>
        </w:tc>
        <w:tc>
          <w:tcPr>
            <w:tcW w:w="3119" w:type="dxa"/>
          </w:tcPr>
          <w:p w:rsidR="00455BD1" w:rsidRPr="008F6246" w:rsidRDefault="00455BD1" w:rsidP="00BC31DB">
            <w:pPr>
              <w:pStyle w:val="Corpotesto"/>
              <w:widowControl w:val="0"/>
              <w:tabs>
                <w:tab w:val="clear" w:pos="709"/>
              </w:tabs>
              <w:adjustRightInd w:val="0"/>
              <w:spacing w:line="276" w:lineRule="auto"/>
              <w:jc w:val="center"/>
              <w:textAlignment w:val="baseline"/>
              <w:rPr>
                <w:rFonts w:ascii="Verdana" w:hAnsi="Verdana"/>
                <w:sz w:val="22"/>
                <w:szCs w:val="22"/>
              </w:rPr>
            </w:pPr>
            <w:r w:rsidRPr="008F6246">
              <w:rPr>
                <w:rFonts w:ascii="Verdana" w:hAnsi="Verdana"/>
                <w:sz w:val="22"/>
                <w:szCs w:val="22"/>
              </w:rPr>
              <w:t>23,39%</w:t>
            </w:r>
          </w:p>
        </w:tc>
      </w:tr>
      <w:tr w:rsidR="00455BD1" w:rsidRPr="008F6246" w:rsidTr="008F6246">
        <w:trPr>
          <w:jc w:val="center"/>
        </w:trPr>
        <w:tc>
          <w:tcPr>
            <w:tcW w:w="2764" w:type="dxa"/>
          </w:tcPr>
          <w:p w:rsidR="00455BD1" w:rsidRPr="008F6246" w:rsidRDefault="00455BD1" w:rsidP="00BC31DB">
            <w:pPr>
              <w:pStyle w:val="Corpotesto"/>
              <w:widowControl w:val="0"/>
              <w:tabs>
                <w:tab w:val="clear" w:pos="709"/>
              </w:tabs>
              <w:adjustRightInd w:val="0"/>
              <w:spacing w:line="276" w:lineRule="auto"/>
              <w:jc w:val="both"/>
              <w:textAlignment w:val="baseline"/>
              <w:rPr>
                <w:rFonts w:ascii="Verdana" w:hAnsi="Verdana"/>
                <w:sz w:val="22"/>
                <w:szCs w:val="22"/>
              </w:rPr>
            </w:pPr>
            <w:r w:rsidRPr="008F6246">
              <w:rPr>
                <w:rFonts w:ascii="Verdana" w:hAnsi="Verdana"/>
                <w:sz w:val="22"/>
                <w:szCs w:val="22"/>
              </w:rPr>
              <w:t>AEVV Energie</w:t>
            </w:r>
            <w:r w:rsidRPr="008F6246">
              <w:rPr>
                <w:rStyle w:val="Rimandonotaapidipagina"/>
                <w:rFonts w:ascii="Verdana" w:hAnsi="Verdana"/>
                <w:sz w:val="22"/>
                <w:szCs w:val="22"/>
              </w:rPr>
              <w:footnoteReference w:id="1"/>
            </w:r>
            <w:r w:rsidRPr="008F6246">
              <w:rPr>
                <w:rFonts w:ascii="Verdana" w:hAnsi="Verdana"/>
                <w:sz w:val="22"/>
                <w:szCs w:val="22"/>
              </w:rPr>
              <w:t xml:space="preserve"> </w:t>
            </w:r>
            <w:r w:rsidR="008F6246">
              <w:rPr>
                <w:rFonts w:ascii="Verdana" w:hAnsi="Verdana"/>
                <w:sz w:val="22"/>
                <w:szCs w:val="22"/>
              </w:rPr>
              <w:t>Srl</w:t>
            </w:r>
          </w:p>
        </w:tc>
        <w:tc>
          <w:tcPr>
            <w:tcW w:w="3013" w:type="dxa"/>
          </w:tcPr>
          <w:p w:rsidR="00455BD1" w:rsidRPr="008F6246" w:rsidRDefault="00455BD1" w:rsidP="00BC31DB">
            <w:pPr>
              <w:pStyle w:val="Corpotesto"/>
              <w:widowControl w:val="0"/>
              <w:tabs>
                <w:tab w:val="clear" w:pos="709"/>
              </w:tabs>
              <w:adjustRightInd w:val="0"/>
              <w:spacing w:line="276" w:lineRule="auto"/>
              <w:jc w:val="center"/>
              <w:textAlignment w:val="baseline"/>
              <w:rPr>
                <w:rFonts w:ascii="Verdana" w:hAnsi="Verdana"/>
                <w:sz w:val="22"/>
                <w:szCs w:val="22"/>
              </w:rPr>
            </w:pPr>
            <w:r w:rsidRPr="008F6246">
              <w:rPr>
                <w:rFonts w:ascii="Verdana" w:hAnsi="Verdana"/>
                <w:sz w:val="22"/>
                <w:szCs w:val="22"/>
              </w:rPr>
              <w:t>49%</w:t>
            </w:r>
          </w:p>
        </w:tc>
        <w:tc>
          <w:tcPr>
            <w:tcW w:w="3119" w:type="dxa"/>
          </w:tcPr>
          <w:p w:rsidR="00455BD1" w:rsidRPr="008F6246" w:rsidRDefault="00455BD1" w:rsidP="00BC31DB">
            <w:pPr>
              <w:pStyle w:val="Corpotesto"/>
              <w:widowControl w:val="0"/>
              <w:tabs>
                <w:tab w:val="clear" w:pos="709"/>
              </w:tabs>
              <w:adjustRightInd w:val="0"/>
              <w:spacing w:line="276" w:lineRule="auto"/>
              <w:jc w:val="center"/>
              <w:textAlignment w:val="baseline"/>
              <w:rPr>
                <w:rFonts w:ascii="Verdana" w:hAnsi="Verdana"/>
                <w:sz w:val="22"/>
                <w:szCs w:val="22"/>
              </w:rPr>
            </w:pPr>
            <w:r w:rsidRPr="008F6246">
              <w:rPr>
                <w:rFonts w:ascii="Verdana" w:hAnsi="Verdana"/>
                <w:sz w:val="22"/>
                <w:szCs w:val="22"/>
              </w:rPr>
              <w:t>11,46%</w:t>
            </w:r>
          </w:p>
        </w:tc>
      </w:tr>
    </w:tbl>
    <w:p w:rsidR="009C70E0" w:rsidRPr="00A44412" w:rsidRDefault="009C70E0" w:rsidP="009C70E0">
      <w:pPr>
        <w:rPr>
          <w:sz w:val="28"/>
          <w:szCs w:val="28"/>
        </w:rPr>
      </w:pPr>
    </w:p>
    <w:p w:rsidR="007F7839" w:rsidRPr="007F7839" w:rsidRDefault="007F7839" w:rsidP="007F7839">
      <w:pPr>
        <w:contextualSpacing/>
        <w:jc w:val="both"/>
        <w:rPr>
          <w:rFonts w:ascii="Verdana" w:hAnsi="Verdana"/>
          <w:sz w:val="22"/>
          <w:szCs w:val="22"/>
        </w:rPr>
      </w:pPr>
      <w:r>
        <w:rPr>
          <w:rFonts w:ascii="Verdana" w:hAnsi="Verdana"/>
          <w:sz w:val="22"/>
          <w:szCs w:val="22"/>
        </w:rPr>
        <w:t xml:space="preserve">Di seguito </w:t>
      </w:r>
      <w:r w:rsidR="008F6246">
        <w:rPr>
          <w:rFonts w:ascii="Verdana" w:hAnsi="Verdana"/>
          <w:sz w:val="22"/>
          <w:szCs w:val="22"/>
        </w:rPr>
        <w:t xml:space="preserve">è </w:t>
      </w:r>
      <w:r>
        <w:rPr>
          <w:rFonts w:ascii="Verdana" w:hAnsi="Verdana"/>
          <w:sz w:val="22"/>
          <w:szCs w:val="22"/>
        </w:rPr>
        <w:t xml:space="preserve">riassunta la situazione attuale delle diverse società coinvolte e </w:t>
      </w:r>
      <w:r w:rsidR="008F6246">
        <w:rPr>
          <w:rFonts w:ascii="Verdana" w:hAnsi="Verdana"/>
          <w:sz w:val="22"/>
          <w:szCs w:val="22"/>
        </w:rPr>
        <w:t>sono</w:t>
      </w:r>
      <w:r>
        <w:rPr>
          <w:rFonts w:ascii="Verdana" w:hAnsi="Verdana"/>
          <w:sz w:val="22"/>
          <w:szCs w:val="22"/>
        </w:rPr>
        <w:t xml:space="preserve"> ill</w:t>
      </w:r>
      <w:r>
        <w:rPr>
          <w:rFonts w:ascii="Verdana" w:hAnsi="Verdana"/>
          <w:sz w:val="22"/>
          <w:szCs w:val="22"/>
        </w:rPr>
        <w:t>u</w:t>
      </w:r>
      <w:r>
        <w:rPr>
          <w:rFonts w:ascii="Verdana" w:hAnsi="Verdana"/>
          <w:sz w:val="22"/>
          <w:szCs w:val="22"/>
        </w:rPr>
        <w:t xml:space="preserve">strate </w:t>
      </w:r>
      <w:r w:rsidR="008F6246">
        <w:rPr>
          <w:rFonts w:ascii="Verdana" w:hAnsi="Verdana"/>
          <w:sz w:val="22"/>
          <w:szCs w:val="22"/>
        </w:rPr>
        <w:t>le diverse fasi e condizioni del</w:t>
      </w:r>
      <w:r>
        <w:rPr>
          <w:rFonts w:ascii="Verdana" w:hAnsi="Verdana"/>
          <w:sz w:val="22"/>
          <w:szCs w:val="22"/>
        </w:rPr>
        <w:t xml:space="preserve"> percorso di aggregazione societaria: </w:t>
      </w:r>
    </w:p>
    <w:p w:rsidR="007F7839" w:rsidRPr="007F7839" w:rsidRDefault="007F7839" w:rsidP="007F7839">
      <w:pPr>
        <w:contextualSpacing/>
        <w:rPr>
          <w:rFonts w:ascii="Verdana" w:hAnsi="Verdana"/>
          <w:sz w:val="22"/>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67665F">
        <w:rPr>
          <w:rFonts w:ascii="Verdana" w:hAnsi="Verdana"/>
          <w:sz w:val="22"/>
          <w:szCs w:val="22"/>
        </w:rPr>
        <w:t xml:space="preserve">ACSM-AGAM </w:t>
      </w:r>
      <w:r w:rsidR="00D033B5" w:rsidRPr="0067665F">
        <w:rPr>
          <w:rFonts w:ascii="Verdana" w:hAnsi="Verdana"/>
          <w:sz w:val="22"/>
          <w:szCs w:val="22"/>
        </w:rPr>
        <w:t>S.p.A.</w:t>
      </w:r>
      <w:r w:rsidRPr="0067665F">
        <w:rPr>
          <w:rFonts w:ascii="Verdana" w:hAnsi="Verdana"/>
          <w:sz w:val="22"/>
          <w:szCs w:val="22"/>
        </w:rPr>
        <w:t xml:space="preserve"> </w:t>
      </w:r>
      <w:r w:rsidRPr="007F7839">
        <w:rPr>
          <w:rFonts w:ascii="Verdana" w:hAnsi="Verdana"/>
          <w:sz w:val="22"/>
          <w:szCs w:val="22"/>
        </w:rPr>
        <w:t>(“</w:t>
      </w:r>
      <w:r w:rsidRPr="007F7839">
        <w:rPr>
          <w:rFonts w:ascii="Verdana" w:hAnsi="Verdana"/>
          <w:b/>
          <w:sz w:val="22"/>
          <w:szCs w:val="22"/>
        </w:rPr>
        <w:t>ACSM-AGAM</w:t>
      </w:r>
      <w:r w:rsidRPr="007F7839">
        <w:rPr>
          <w:rFonts w:ascii="Verdana" w:hAnsi="Verdana"/>
          <w:sz w:val="22"/>
          <w:szCs w:val="22"/>
        </w:rPr>
        <w:t>”) è una società quotata a partecipazione pubblica, attiva principalmente nelle province di Como e di Monza-Brianza ed a</w:t>
      </w:r>
      <w:r w:rsidRPr="007F7839">
        <w:rPr>
          <w:rFonts w:ascii="Verdana" w:hAnsi="Verdana"/>
          <w:sz w:val="22"/>
          <w:szCs w:val="22"/>
        </w:rPr>
        <w:t>n</w:t>
      </w:r>
      <w:r w:rsidRPr="007F7839">
        <w:rPr>
          <w:rFonts w:ascii="Verdana" w:hAnsi="Verdana"/>
          <w:sz w:val="22"/>
          <w:szCs w:val="22"/>
        </w:rPr>
        <w:t>che nelle province di Venezia ed Udine tramite società del proprio gruppo, op</w:t>
      </w:r>
      <w:r w:rsidRPr="007F7839">
        <w:rPr>
          <w:rFonts w:ascii="Verdana" w:hAnsi="Verdana"/>
          <w:sz w:val="22"/>
          <w:szCs w:val="22"/>
        </w:rPr>
        <w:t>e</w:t>
      </w:r>
      <w:r w:rsidRPr="007F7839">
        <w:rPr>
          <w:rFonts w:ascii="Verdana" w:hAnsi="Verdana"/>
          <w:sz w:val="22"/>
          <w:szCs w:val="22"/>
        </w:rPr>
        <w:t>rante nei seguenti settori: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distribuzione gas con circa 180.000 PdR gestiti di cui 140.000 in Lombardia;</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servizio idrico con circa 16.000 clienti serviti;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vendita energia elettrica e gas con circa 16.000 clienti di energia elettrica e 160.000 clienti gas;</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cogenerazione, teleriscaldamento e gestione calore con 430 clienti serviti dalla rete di TLR;</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smaltimento tramite termovalorizzazione con oltre 80.000 tonnellate di rifiuti urbani smaltiti all’anno;</w:t>
      </w:r>
    </w:p>
    <w:p w:rsidR="007F7839" w:rsidRPr="007F7839" w:rsidRDefault="007F7839" w:rsidP="007F7839">
      <w:pPr>
        <w:contextualSpacing/>
        <w:jc w:val="both"/>
        <w:rPr>
          <w:rFonts w:ascii="Verdana" w:hAnsi="Verdana"/>
          <w:sz w:val="22"/>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 xml:space="preserve">A2A </w:t>
      </w:r>
      <w:r w:rsidR="00D033B5" w:rsidRPr="009C70E0">
        <w:rPr>
          <w:rFonts w:ascii="Verdana" w:hAnsi="Verdana"/>
          <w:sz w:val="22"/>
          <w:szCs w:val="22"/>
        </w:rPr>
        <w:t>S</w:t>
      </w:r>
      <w:r w:rsidR="00D033B5">
        <w:rPr>
          <w:rFonts w:ascii="Verdana" w:hAnsi="Verdana"/>
          <w:sz w:val="22"/>
          <w:szCs w:val="22"/>
        </w:rPr>
        <w:t>.</w:t>
      </w:r>
      <w:r w:rsidR="00D033B5" w:rsidRPr="009C70E0">
        <w:rPr>
          <w:rFonts w:ascii="Verdana" w:hAnsi="Verdana"/>
          <w:sz w:val="22"/>
          <w:szCs w:val="22"/>
        </w:rPr>
        <w:t>p</w:t>
      </w:r>
      <w:r w:rsidR="00D033B5">
        <w:rPr>
          <w:rFonts w:ascii="Verdana" w:hAnsi="Verdana"/>
          <w:sz w:val="22"/>
          <w:szCs w:val="22"/>
        </w:rPr>
        <w:t>.A.</w:t>
      </w:r>
      <w:r w:rsidRPr="007F7839">
        <w:rPr>
          <w:rFonts w:ascii="Verdana" w:hAnsi="Verdana"/>
          <w:sz w:val="22"/>
          <w:szCs w:val="22"/>
        </w:rPr>
        <w:t xml:space="preserve"> (“</w:t>
      </w:r>
      <w:r w:rsidRPr="007F7839">
        <w:rPr>
          <w:rFonts w:ascii="Verdana" w:hAnsi="Verdana"/>
          <w:b/>
          <w:sz w:val="22"/>
          <w:szCs w:val="22"/>
        </w:rPr>
        <w:t>A2A</w:t>
      </w:r>
      <w:r w:rsidRPr="007F7839">
        <w:rPr>
          <w:rFonts w:ascii="Verdana" w:hAnsi="Verdana"/>
          <w:sz w:val="22"/>
          <w:szCs w:val="22"/>
        </w:rPr>
        <w:t>”) è una società quotata a partecipazione pubblica, attiva in Italia ed in Europa ed operante, tra gli altri, nei seguenti settori: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lastRenderedPageBreak/>
        <w:t xml:space="preserve">generazione e trading con circa 10 GW di capacità installata e oltre 3.500 </w:t>
      </w:r>
      <w:proofErr w:type="spellStart"/>
      <w:r w:rsidRPr="007F7839">
        <w:rPr>
          <w:rFonts w:ascii="Verdana" w:hAnsi="Verdana"/>
          <w:szCs w:val="22"/>
        </w:rPr>
        <w:t>Mmc</w:t>
      </w:r>
      <w:proofErr w:type="spellEnd"/>
      <w:r w:rsidRPr="007F7839">
        <w:rPr>
          <w:rFonts w:ascii="Verdana" w:hAnsi="Verdana"/>
          <w:szCs w:val="22"/>
        </w:rPr>
        <w:t xml:space="preserve"> di gas venduti all’ingrosso;</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vendita energia elettrica e gas con circa 1.000.000 clienti di energia elettrica e circa 1.100.000 clienti gas (punti di prelievo);</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servizi di igiene ambientale, trattamento e smaltimento dei rifiuti urbani (circa 1.300.000 tonnellate di rifiuti raccolti e 2.600.000 tonnellate di rifiuti trattati);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teleriscaldamento e altri servizi energetici (circa 400.000 appartamenti equiv</w:t>
      </w:r>
      <w:r w:rsidRPr="007F7839">
        <w:rPr>
          <w:rFonts w:ascii="Verdana" w:hAnsi="Verdana"/>
          <w:szCs w:val="22"/>
        </w:rPr>
        <w:t>a</w:t>
      </w:r>
      <w:r w:rsidRPr="007F7839">
        <w:rPr>
          <w:rFonts w:ascii="Verdana" w:hAnsi="Verdana"/>
          <w:szCs w:val="22"/>
        </w:rPr>
        <w:t>lenti teleriscaldati);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 xml:space="preserve">distribuzione energia elettrica con oltre 13.000 </w:t>
      </w:r>
      <w:proofErr w:type="spellStart"/>
      <w:r w:rsidRPr="007F7839">
        <w:rPr>
          <w:rFonts w:ascii="Verdana" w:hAnsi="Verdana"/>
          <w:szCs w:val="22"/>
        </w:rPr>
        <w:t>GWh</w:t>
      </w:r>
      <w:proofErr w:type="spellEnd"/>
      <w:r w:rsidRPr="007F7839">
        <w:rPr>
          <w:rFonts w:ascii="Verdana" w:hAnsi="Verdana"/>
          <w:szCs w:val="22"/>
        </w:rPr>
        <w:t xml:space="preserve"> di energia elettrica distr</w:t>
      </w:r>
      <w:r w:rsidRPr="007F7839">
        <w:rPr>
          <w:rFonts w:ascii="Verdana" w:hAnsi="Verdana"/>
          <w:szCs w:val="22"/>
        </w:rPr>
        <w:t>i</w:t>
      </w:r>
      <w:r w:rsidRPr="007F7839">
        <w:rPr>
          <w:rFonts w:ascii="Verdana" w:hAnsi="Verdana"/>
          <w:szCs w:val="22"/>
        </w:rPr>
        <w:t>buita;</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distribuzione gas con circa 1.250.000 PdR gestiti;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servizio idrico integrato (circa 63 milioni di mc di acqua distribuiti);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altri servizi (videosorveglianza, trasmissione dati, telefonia</w:t>
      </w:r>
      <w:r>
        <w:rPr>
          <w:rFonts w:ascii="Verdana" w:hAnsi="Verdana"/>
          <w:szCs w:val="22"/>
        </w:rPr>
        <w:t>,</w:t>
      </w:r>
      <w:r w:rsidRPr="007F7839">
        <w:rPr>
          <w:rFonts w:ascii="Verdana" w:hAnsi="Verdana"/>
          <w:szCs w:val="22"/>
        </w:rPr>
        <w:t xml:space="preserve"> accessi internet);</w:t>
      </w:r>
    </w:p>
    <w:p w:rsidR="007F7839" w:rsidRPr="007F7839" w:rsidRDefault="007F7839" w:rsidP="007F7839">
      <w:pPr>
        <w:pStyle w:val="ListArabic1"/>
        <w:tabs>
          <w:tab w:val="clear" w:pos="22"/>
        </w:tabs>
        <w:spacing w:after="0" w:line="240" w:lineRule="auto"/>
        <w:contextualSpacing/>
        <w:rPr>
          <w:rFonts w:ascii="Verdana" w:hAnsi="Verdana"/>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ASPEM S.p.A. (“</w:t>
      </w:r>
      <w:r w:rsidRPr="007F7839">
        <w:rPr>
          <w:rFonts w:ascii="Verdana" w:hAnsi="Verdana"/>
          <w:b/>
          <w:sz w:val="22"/>
          <w:szCs w:val="22"/>
        </w:rPr>
        <w:t>ASPEM</w:t>
      </w:r>
      <w:r w:rsidRPr="007F7839">
        <w:rPr>
          <w:rFonts w:ascii="Verdana" w:hAnsi="Verdana"/>
          <w:sz w:val="22"/>
          <w:szCs w:val="22"/>
        </w:rPr>
        <w:t xml:space="preserve">”) è la </w:t>
      </w:r>
      <w:r w:rsidRPr="007F7839">
        <w:rPr>
          <w:rFonts w:ascii="Verdana" w:hAnsi="Verdana"/>
          <w:i/>
          <w:sz w:val="22"/>
          <w:szCs w:val="22"/>
        </w:rPr>
        <w:t>multi-utility</w:t>
      </w:r>
      <w:r w:rsidRPr="007F7839">
        <w:rPr>
          <w:rFonts w:ascii="Verdana" w:hAnsi="Verdana"/>
          <w:sz w:val="22"/>
          <w:szCs w:val="22"/>
        </w:rPr>
        <w:t xml:space="preserve"> attiva in Provincia di Varese, controll</w:t>
      </w:r>
      <w:r w:rsidRPr="007F7839">
        <w:rPr>
          <w:rFonts w:ascii="Verdana" w:hAnsi="Verdana"/>
          <w:sz w:val="22"/>
          <w:szCs w:val="22"/>
        </w:rPr>
        <w:t>a</w:t>
      </w:r>
      <w:r w:rsidRPr="007F7839">
        <w:rPr>
          <w:rFonts w:ascii="Verdana" w:hAnsi="Verdana"/>
          <w:sz w:val="22"/>
          <w:szCs w:val="22"/>
        </w:rPr>
        <w:t>ta da A2A, operante, direttamente e attraverso altre società del proprio gruppo, nei seguenti settori: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servizio idrico con circa 220.000 abitanti serviti;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servizi di igiene ambientale con circa 150.000 abitanti serviti;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distribuzione gas con circa 43.000 PdR attivi;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teleriscaldamento con 145 punti di riconsegna attiva sulla rete;</w:t>
      </w:r>
    </w:p>
    <w:p w:rsidR="007F7839" w:rsidRPr="007F7839" w:rsidRDefault="007F7839" w:rsidP="007F7839">
      <w:pPr>
        <w:pStyle w:val="ListArabic1"/>
        <w:tabs>
          <w:tab w:val="clear" w:pos="22"/>
        </w:tabs>
        <w:spacing w:after="0" w:line="240" w:lineRule="auto"/>
        <w:contextualSpacing/>
        <w:rPr>
          <w:rFonts w:ascii="Verdana" w:hAnsi="Verdana"/>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Azienda</w:t>
      </w:r>
      <w:r w:rsidRPr="007F7839">
        <w:rPr>
          <w:rFonts w:ascii="Verdana" w:hAnsi="Verdana"/>
          <w:iCs/>
          <w:sz w:val="22"/>
          <w:szCs w:val="22"/>
        </w:rPr>
        <w:t xml:space="preserve"> Energetica Valtellina </w:t>
      </w:r>
      <w:proofErr w:type="spellStart"/>
      <w:r w:rsidRPr="007F7839">
        <w:rPr>
          <w:rFonts w:ascii="Verdana" w:hAnsi="Verdana"/>
          <w:iCs/>
          <w:sz w:val="22"/>
          <w:szCs w:val="22"/>
        </w:rPr>
        <w:t>Valchiavenna</w:t>
      </w:r>
      <w:proofErr w:type="spellEnd"/>
      <w:r w:rsidRPr="007F7839">
        <w:rPr>
          <w:rFonts w:ascii="Verdana" w:hAnsi="Verdana"/>
          <w:iCs/>
          <w:sz w:val="22"/>
          <w:szCs w:val="22"/>
        </w:rPr>
        <w:t xml:space="preserve"> S.p.A. </w:t>
      </w:r>
      <w:r w:rsidRPr="007F7839">
        <w:rPr>
          <w:rFonts w:ascii="Verdana" w:hAnsi="Verdana"/>
          <w:sz w:val="22"/>
          <w:szCs w:val="22"/>
        </w:rPr>
        <w:t>(“</w:t>
      </w:r>
      <w:r w:rsidRPr="007F7839">
        <w:rPr>
          <w:rFonts w:ascii="Verdana" w:hAnsi="Verdana"/>
          <w:b/>
          <w:sz w:val="22"/>
          <w:szCs w:val="22"/>
        </w:rPr>
        <w:t>AEVV</w:t>
      </w:r>
      <w:r w:rsidRPr="007F7839">
        <w:rPr>
          <w:rFonts w:ascii="Verdana" w:hAnsi="Verdana"/>
          <w:sz w:val="22"/>
          <w:szCs w:val="22"/>
        </w:rPr>
        <w:t>”)</w:t>
      </w:r>
      <w:r w:rsidRPr="007F7839">
        <w:rPr>
          <w:rFonts w:ascii="Verdana" w:hAnsi="Verdana"/>
          <w:iCs/>
          <w:sz w:val="22"/>
          <w:szCs w:val="22"/>
        </w:rPr>
        <w:t xml:space="preserve"> </w:t>
      </w:r>
      <w:r w:rsidRPr="007F7839">
        <w:rPr>
          <w:rFonts w:ascii="Verdana" w:hAnsi="Verdana"/>
          <w:sz w:val="22"/>
          <w:szCs w:val="22"/>
        </w:rPr>
        <w:t>è una società a pa</w:t>
      </w:r>
      <w:r w:rsidRPr="007F7839">
        <w:rPr>
          <w:rFonts w:ascii="Verdana" w:hAnsi="Verdana"/>
          <w:sz w:val="22"/>
          <w:szCs w:val="22"/>
        </w:rPr>
        <w:t>r</w:t>
      </w:r>
      <w:r w:rsidRPr="007F7839">
        <w:rPr>
          <w:rFonts w:ascii="Verdana" w:hAnsi="Verdana"/>
          <w:sz w:val="22"/>
          <w:szCs w:val="22"/>
        </w:rPr>
        <w:t>tecipazione pubblica, Emittente Strumenti Finanziari diffusi tra il pubblico in m</w:t>
      </w:r>
      <w:r w:rsidRPr="007F7839">
        <w:rPr>
          <w:rFonts w:ascii="Verdana" w:hAnsi="Verdana"/>
          <w:sz w:val="22"/>
          <w:szCs w:val="22"/>
        </w:rPr>
        <w:t>i</w:t>
      </w:r>
      <w:r w:rsidRPr="007F7839">
        <w:rPr>
          <w:rFonts w:ascii="Verdana" w:hAnsi="Verdana"/>
          <w:sz w:val="22"/>
          <w:szCs w:val="22"/>
        </w:rPr>
        <w:t>sura rilevante ai sensi dell’art. 2-</w:t>
      </w:r>
      <w:r w:rsidRPr="007F7839">
        <w:rPr>
          <w:rFonts w:ascii="Verdana" w:hAnsi="Verdana"/>
          <w:i/>
          <w:sz w:val="22"/>
          <w:szCs w:val="22"/>
        </w:rPr>
        <w:t>bis</w:t>
      </w:r>
      <w:r w:rsidRPr="007F7839">
        <w:rPr>
          <w:rFonts w:ascii="Verdana" w:hAnsi="Verdana"/>
          <w:sz w:val="22"/>
          <w:szCs w:val="22"/>
        </w:rPr>
        <w:t xml:space="preserve"> del Regolamento CONSOB n. 11971/1999, attiva nella provincia di Sondrio, operante sia direttamente sia attraverso le s</w:t>
      </w:r>
      <w:r w:rsidRPr="007F7839">
        <w:rPr>
          <w:rFonts w:ascii="Verdana" w:hAnsi="Verdana"/>
          <w:sz w:val="22"/>
          <w:szCs w:val="22"/>
        </w:rPr>
        <w:t>o</w:t>
      </w:r>
      <w:r w:rsidRPr="007F7839">
        <w:rPr>
          <w:rFonts w:ascii="Verdana" w:hAnsi="Verdana"/>
          <w:sz w:val="22"/>
          <w:szCs w:val="22"/>
        </w:rPr>
        <w:t>cietà del proprio gruppo, nei seguenti settori: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distribuzione gas con circa 9.500 PdR serviti;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vendita energia elettrica e gas servendo circa 23.600 clienti di energia elettrica e 7.800 clienti gas;</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gestione calore e altri servizi energetici;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distribuzione energia elettrica su 4 comuni;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gestione farmacie (3 farmacie);</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illuminazione pubblica (8.000 punti luce in 4 comuni);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gestione parcheggi (2 parcheggi);</w:t>
      </w:r>
    </w:p>
    <w:p w:rsidR="007F7839" w:rsidRPr="007F7839" w:rsidRDefault="007F7839" w:rsidP="007F7839">
      <w:pPr>
        <w:pStyle w:val="ListArabic1"/>
        <w:tabs>
          <w:tab w:val="clear" w:pos="22"/>
        </w:tabs>
        <w:spacing w:after="0" w:line="240" w:lineRule="auto"/>
        <w:contextualSpacing/>
        <w:rPr>
          <w:rFonts w:ascii="Verdana" w:hAnsi="Verdana"/>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Lario</w:t>
      </w:r>
      <w:r w:rsidRPr="007F7839">
        <w:rPr>
          <w:rFonts w:ascii="Verdana" w:hAnsi="Verdana"/>
          <w:iCs/>
          <w:sz w:val="22"/>
          <w:szCs w:val="22"/>
        </w:rPr>
        <w:t xml:space="preserve"> Reti Holding S.r.l. (</w:t>
      </w:r>
      <w:r w:rsidRPr="007F7839">
        <w:rPr>
          <w:rFonts w:ascii="Verdana" w:hAnsi="Verdana"/>
          <w:sz w:val="22"/>
          <w:szCs w:val="22"/>
        </w:rPr>
        <w:t>“</w:t>
      </w:r>
      <w:r w:rsidRPr="007F7839">
        <w:rPr>
          <w:rFonts w:ascii="Verdana" w:hAnsi="Verdana"/>
          <w:b/>
          <w:sz w:val="22"/>
          <w:szCs w:val="22"/>
        </w:rPr>
        <w:t>LRH</w:t>
      </w:r>
      <w:r w:rsidRPr="007F7839">
        <w:rPr>
          <w:rFonts w:ascii="Verdana" w:hAnsi="Verdana"/>
          <w:sz w:val="22"/>
          <w:szCs w:val="22"/>
        </w:rPr>
        <w:t>”) è una società a capitale interamente pubblico che opera nel servizio idrico integrato nelle province di Lecco e Como e tramite le proprie società controllate Lario Reti Gas S.r.l. e Acel Service S.r.l. nei seguenti settori: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distribuzione gas con circa 78.000 PdR serviti;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vendita energia elettrica e gas servendo circa 6150 clienti di energia elettrica e 76.500 clienti gas;</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gestione calore (18 impianti);</w:t>
      </w:r>
    </w:p>
    <w:p w:rsidR="007F7839" w:rsidRPr="007F7839" w:rsidRDefault="007F7839" w:rsidP="0067665F">
      <w:pPr>
        <w:pStyle w:val="ListArabic1"/>
        <w:numPr>
          <w:ilvl w:val="2"/>
          <w:numId w:val="20"/>
        </w:numPr>
        <w:tabs>
          <w:tab w:val="clear" w:pos="22"/>
        </w:tabs>
        <w:spacing w:after="0" w:line="240" w:lineRule="auto"/>
        <w:ind w:left="851" w:hanging="284"/>
        <w:contextualSpacing/>
        <w:rPr>
          <w:rFonts w:ascii="Verdana" w:hAnsi="Verdana"/>
          <w:szCs w:val="22"/>
        </w:rPr>
      </w:pPr>
      <w:r w:rsidRPr="007F7839">
        <w:rPr>
          <w:rFonts w:ascii="Verdana" w:hAnsi="Verdana"/>
          <w:szCs w:val="22"/>
        </w:rPr>
        <w:t>gestione impianti fotovoltaici (14 impianti);</w:t>
      </w:r>
    </w:p>
    <w:p w:rsidR="007F7839" w:rsidRPr="007F7839" w:rsidRDefault="007F7839" w:rsidP="007F7839">
      <w:pPr>
        <w:pStyle w:val="Paragrafoelenco"/>
        <w:ind w:left="567"/>
        <w:jc w:val="both"/>
        <w:rPr>
          <w:rFonts w:ascii="Verdana" w:hAnsi="Verdana"/>
          <w:iCs/>
          <w:sz w:val="22"/>
          <w:szCs w:val="22"/>
        </w:rPr>
      </w:pPr>
    </w:p>
    <w:p w:rsidR="007F7839" w:rsidRPr="007F7839" w:rsidRDefault="007F7839" w:rsidP="007F7839">
      <w:pPr>
        <w:pStyle w:val="Paragrafoelenco"/>
        <w:numPr>
          <w:ilvl w:val="0"/>
          <w:numId w:val="21"/>
        </w:numPr>
        <w:ind w:left="567" w:hanging="567"/>
        <w:jc w:val="both"/>
        <w:rPr>
          <w:rFonts w:ascii="Verdana" w:hAnsi="Verdana"/>
          <w:iCs/>
          <w:sz w:val="22"/>
          <w:szCs w:val="22"/>
        </w:rPr>
      </w:pPr>
      <w:r w:rsidRPr="007F7839">
        <w:rPr>
          <w:rFonts w:ascii="Verdana" w:hAnsi="Verdana"/>
          <w:iCs/>
          <w:sz w:val="22"/>
          <w:szCs w:val="22"/>
        </w:rPr>
        <w:t>Il Comune di Como detiene il 24,8% del capitale sociale di ACSM-AGAM;</w:t>
      </w:r>
    </w:p>
    <w:p w:rsidR="007F7839" w:rsidRPr="007F7839" w:rsidRDefault="007F7839" w:rsidP="007F7839">
      <w:pPr>
        <w:pStyle w:val="Paragrafoelenco"/>
        <w:ind w:left="567"/>
        <w:jc w:val="both"/>
        <w:rPr>
          <w:rFonts w:ascii="Verdana" w:hAnsi="Verdana"/>
          <w:iCs/>
          <w:sz w:val="22"/>
          <w:szCs w:val="22"/>
        </w:rPr>
      </w:pPr>
    </w:p>
    <w:p w:rsidR="007F7839" w:rsidRPr="007F7839" w:rsidRDefault="007F7839" w:rsidP="007F7839">
      <w:pPr>
        <w:pStyle w:val="Paragrafoelenco"/>
        <w:numPr>
          <w:ilvl w:val="0"/>
          <w:numId w:val="21"/>
        </w:numPr>
        <w:ind w:left="567" w:hanging="567"/>
        <w:jc w:val="both"/>
        <w:rPr>
          <w:rFonts w:ascii="Verdana" w:hAnsi="Verdana"/>
          <w:iCs/>
          <w:sz w:val="22"/>
          <w:szCs w:val="22"/>
        </w:rPr>
      </w:pPr>
      <w:r w:rsidRPr="007F7839">
        <w:rPr>
          <w:rFonts w:ascii="Verdana" w:hAnsi="Verdana"/>
          <w:iCs/>
          <w:sz w:val="22"/>
          <w:szCs w:val="22"/>
        </w:rPr>
        <w:t>Il Comune di Monza detiene il 27,1% del capitale sociale di ACSM-AGAM;</w:t>
      </w:r>
    </w:p>
    <w:p w:rsidR="007F7839" w:rsidRPr="007F7839" w:rsidRDefault="007F7839" w:rsidP="007F7839">
      <w:pPr>
        <w:pStyle w:val="Paragrafoelenco"/>
        <w:ind w:left="567"/>
        <w:jc w:val="both"/>
        <w:rPr>
          <w:rFonts w:ascii="Verdana" w:hAnsi="Verdana"/>
          <w:iCs/>
          <w:sz w:val="22"/>
          <w:szCs w:val="22"/>
        </w:rPr>
      </w:pPr>
    </w:p>
    <w:p w:rsidR="007F7839" w:rsidRPr="007F7839" w:rsidRDefault="007F7839" w:rsidP="007F7839">
      <w:pPr>
        <w:pStyle w:val="Paragrafoelenco"/>
        <w:numPr>
          <w:ilvl w:val="0"/>
          <w:numId w:val="21"/>
        </w:numPr>
        <w:ind w:left="567" w:hanging="567"/>
        <w:jc w:val="both"/>
        <w:rPr>
          <w:rFonts w:ascii="Verdana" w:hAnsi="Verdana"/>
          <w:iCs/>
          <w:sz w:val="22"/>
          <w:szCs w:val="22"/>
        </w:rPr>
      </w:pPr>
      <w:r w:rsidRPr="007F7839">
        <w:rPr>
          <w:rFonts w:ascii="Verdana" w:hAnsi="Verdana"/>
          <w:iCs/>
          <w:sz w:val="22"/>
          <w:szCs w:val="22"/>
        </w:rPr>
        <w:t>Il Comune di Sondrio detiene il 40,38% del capitale sociale di AEVV (</w:t>
      </w:r>
      <w:r w:rsidRPr="007F7839">
        <w:rPr>
          <w:rFonts w:ascii="Verdana" w:hAnsi="Verdana"/>
          <w:sz w:val="22"/>
          <w:szCs w:val="22"/>
        </w:rPr>
        <w:t>43,82% con il 3,44% di azioni proprie)</w:t>
      </w:r>
      <w:r w:rsidRPr="007F7839">
        <w:rPr>
          <w:rFonts w:ascii="Verdana" w:hAnsi="Verdana"/>
          <w:iCs/>
          <w:sz w:val="22"/>
          <w:szCs w:val="22"/>
        </w:rPr>
        <w:t>;</w:t>
      </w:r>
    </w:p>
    <w:p w:rsidR="007F7839" w:rsidRPr="007F7839" w:rsidRDefault="007F7839" w:rsidP="007F7839">
      <w:pPr>
        <w:pStyle w:val="Paragrafoelenco"/>
        <w:ind w:left="567"/>
        <w:jc w:val="both"/>
        <w:rPr>
          <w:rFonts w:ascii="Verdana" w:hAnsi="Verdana"/>
          <w:iCs/>
          <w:sz w:val="22"/>
          <w:szCs w:val="22"/>
        </w:rPr>
      </w:pPr>
    </w:p>
    <w:p w:rsidR="007F7839" w:rsidRPr="007F7839" w:rsidRDefault="007F7839" w:rsidP="007F7839">
      <w:pPr>
        <w:pStyle w:val="Paragrafoelenco"/>
        <w:numPr>
          <w:ilvl w:val="0"/>
          <w:numId w:val="21"/>
        </w:numPr>
        <w:ind w:left="567" w:hanging="567"/>
        <w:jc w:val="both"/>
        <w:rPr>
          <w:rFonts w:ascii="Verdana" w:hAnsi="Verdana"/>
          <w:iCs/>
          <w:sz w:val="22"/>
          <w:szCs w:val="22"/>
        </w:rPr>
      </w:pPr>
      <w:r w:rsidRPr="007F7839">
        <w:rPr>
          <w:rFonts w:ascii="Verdana" w:hAnsi="Verdana"/>
          <w:iCs/>
          <w:sz w:val="22"/>
          <w:szCs w:val="22"/>
        </w:rPr>
        <w:t>Il Comune di Varese detiene il 9,81% del capitale sociale di ASPEM;</w:t>
      </w:r>
    </w:p>
    <w:p w:rsidR="007F7839" w:rsidRPr="007F7839" w:rsidRDefault="007F7839" w:rsidP="007F7839">
      <w:pPr>
        <w:contextualSpacing/>
        <w:jc w:val="both"/>
        <w:rPr>
          <w:rFonts w:ascii="Verdana" w:hAnsi="Verdana"/>
          <w:sz w:val="22"/>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 xml:space="preserve">Nel corso degli ultimi mesi ACSM-AGAM, </w:t>
      </w:r>
      <w:r w:rsidRPr="007F7839">
        <w:rPr>
          <w:rFonts w:ascii="Verdana" w:hAnsi="Verdana"/>
          <w:iCs/>
          <w:sz w:val="22"/>
          <w:szCs w:val="22"/>
        </w:rPr>
        <w:t>A2A, ASPEM, AEVV, LRH, il Comune di Como, il Comune di Monza, il Comune di Sondrio e il Comune di Varese (collett</w:t>
      </w:r>
      <w:r w:rsidRPr="007F7839">
        <w:rPr>
          <w:rFonts w:ascii="Verdana" w:hAnsi="Verdana"/>
          <w:iCs/>
          <w:sz w:val="22"/>
          <w:szCs w:val="22"/>
        </w:rPr>
        <w:t>i</w:t>
      </w:r>
      <w:r w:rsidRPr="007F7839">
        <w:rPr>
          <w:rFonts w:ascii="Verdana" w:hAnsi="Verdana"/>
          <w:iCs/>
          <w:sz w:val="22"/>
          <w:szCs w:val="22"/>
        </w:rPr>
        <w:t>vamente, le “</w:t>
      </w:r>
      <w:r w:rsidRPr="007F7839">
        <w:rPr>
          <w:rFonts w:ascii="Verdana" w:hAnsi="Verdana"/>
          <w:b/>
          <w:iCs/>
          <w:sz w:val="22"/>
          <w:szCs w:val="22"/>
        </w:rPr>
        <w:t>Parti</w:t>
      </w:r>
      <w:r w:rsidRPr="007F7839">
        <w:rPr>
          <w:rFonts w:ascii="Verdana" w:hAnsi="Verdana"/>
          <w:iCs/>
          <w:sz w:val="22"/>
          <w:szCs w:val="22"/>
        </w:rPr>
        <w:t xml:space="preserve">”), </w:t>
      </w:r>
      <w:r w:rsidRPr="007F7839">
        <w:rPr>
          <w:rFonts w:ascii="Verdana" w:hAnsi="Verdana"/>
          <w:sz w:val="22"/>
          <w:szCs w:val="22"/>
        </w:rPr>
        <w:t>hanno svolto un’analisi per verificare l’esistenza dei pr</w:t>
      </w:r>
      <w:r w:rsidRPr="007F7839">
        <w:rPr>
          <w:rFonts w:ascii="Verdana" w:hAnsi="Verdana"/>
          <w:sz w:val="22"/>
          <w:szCs w:val="22"/>
        </w:rPr>
        <w:t>e</w:t>
      </w:r>
      <w:r w:rsidRPr="007F7839">
        <w:rPr>
          <w:rFonts w:ascii="Verdana" w:hAnsi="Verdana"/>
          <w:sz w:val="22"/>
          <w:szCs w:val="22"/>
        </w:rPr>
        <w:t xml:space="preserve">supposti di un progetto di sviluppo concentrato nella Lombardia settentrionale, </w:t>
      </w:r>
      <w:r w:rsidRPr="007F7839">
        <w:rPr>
          <w:rFonts w:ascii="Verdana" w:hAnsi="Verdana"/>
          <w:iCs/>
          <w:sz w:val="22"/>
          <w:szCs w:val="22"/>
        </w:rPr>
        <w:t xml:space="preserve">avente </w:t>
      </w:r>
      <w:r w:rsidRPr="007F7839">
        <w:rPr>
          <w:rFonts w:ascii="Verdana" w:hAnsi="Verdana"/>
          <w:sz w:val="22"/>
          <w:szCs w:val="22"/>
        </w:rPr>
        <w:t xml:space="preserve">come obiettivo principale la condivisione di linee strategiche di crescita volte – attraverso la valorizzazione delle singole società di settore, dei loro </w:t>
      </w:r>
      <w:r w:rsidRPr="007F7839">
        <w:rPr>
          <w:rFonts w:ascii="Verdana" w:hAnsi="Verdana"/>
          <w:i/>
          <w:sz w:val="22"/>
          <w:szCs w:val="22"/>
        </w:rPr>
        <w:t>brand</w:t>
      </w:r>
      <w:r w:rsidRPr="007F7839">
        <w:rPr>
          <w:rFonts w:ascii="Verdana" w:hAnsi="Verdana"/>
          <w:sz w:val="22"/>
          <w:szCs w:val="22"/>
        </w:rPr>
        <w:t xml:space="preserve"> e del loro attuale presidio territoriale – all’attivazione di sinergie commerciali, i</w:t>
      </w:r>
      <w:r w:rsidRPr="007F7839">
        <w:rPr>
          <w:rFonts w:ascii="Verdana" w:hAnsi="Verdana"/>
          <w:sz w:val="22"/>
          <w:szCs w:val="22"/>
        </w:rPr>
        <w:t>n</w:t>
      </w:r>
      <w:r w:rsidRPr="007F7839">
        <w:rPr>
          <w:rFonts w:ascii="Verdana" w:hAnsi="Verdana"/>
          <w:sz w:val="22"/>
          <w:szCs w:val="22"/>
        </w:rPr>
        <w:t>dustriali ed operative, tramite un’aggregazione industriale e societaria (il “</w:t>
      </w:r>
      <w:r w:rsidRPr="007F7839">
        <w:rPr>
          <w:rFonts w:ascii="Verdana" w:hAnsi="Verdana"/>
          <w:b/>
          <w:sz w:val="22"/>
          <w:szCs w:val="22"/>
        </w:rPr>
        <w:t>Pr</w:t>
      </w:r>
      <w:r w:rsidRPr="007F7839">
        <w:rPr>
          <w:rFonts w:ascii="Verdana" w:hAnsi="Verdana"/>
          <w:b/>
          <w:sz w:val="22"/>
          <w:szCs w:val="22"/>
        </w:rPr>
        <w:t>o</w:t>
      </w:r>
      <w:r w:rsidRPr="007F7839">
        <w:rPr>
          <w:rFonts w:ascii="Verdana" w:hAnsi="Verdana"/>
          <w:b/>
          <w:sz w:val="22"/>
          <w:szCs w:val="22"/>
        </w:rPr>
        <w:t>getto di Aggregazione</w:t>
      </w:r>
      <w:r w:rsidRPr="007F7839">
        <w:rPr>
          <w:rFonts w:ascii="Verdana" w:hAnsi="Verdana"/>
          <w:sz w:val="22"/>
          <w:szCs w:val="22"/>
        </w:rPr>
        <w:t>”);</w:t>
      </w:r>
    </w:p>
    <w:p w:rsidR="007F7839" w:rsidRPr="007F7839" w:rsidRDefault="007F7839" w:rsidP="007F7839">
      <w:pPr>
        <w:contextualSpacing/>
        <w:jc w:val="both"/>
        <w:rPr>
          <w:rFonts w:ascii="Verdana" w:hAnsi="Verdana"/>
          <w:sz w:val="22"/>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 xml:space="preserve">In particolare, nell’intenzione delle Parti, il Progetto di Aggregazione è finalizzato a creare, tra l’altro, un </w:t>
      </w:r>
      <w:r w:rsidRPr="007F7839">
        <w:rPr>
          <w:rFonts w:ascii="Verdana" w:hAnsi="Verdana"/>
          <w:i/>
          <w:sz w:val="22"/>
          <w:szCs w:val="22"/>
        </w:rPr>
        <w:t>player</w:t>
      </w:r>
      <w:r w:rsidRPr="007F7839">
        <w:rPr>
          <w:rFonts w:ascii="Verdana" w:hAnsi="Verdana"/>
          <w:sz w:val="22"/>
          <w:szCs w:val="22"/>
        </w:rPr>
        <w:t xml:space="preserve"> caratterizzato da un</w:t>
      </w:r>
      <w:r w:rsidR="0004081A">
        <w:rPr>
          <w:rFonts w:ascii="Verdana" w:hAnsi="Verdana"/>
          <w:sz w:val="22"/>
          <w:szCs w:val="22"/>
        </w:rPr>
        <w:t xml:space="preserve">a </w:t>
      </w:r>
      <w:r w:rsidRPr="007F7839">
        <w:rPr>
          <w:rFonts w:ascii="Verdana" w:hAnsi="Verdana"/>
          <w:sz w:val="22"/>
          <w:szCs w:val="22"/>
        </w:rPr>
        <w:t>“anima” di natura territoriale e da una “guida” di natura industriale, garantendo altresì il bilanciamento dei vari interessi coinvolti, nonché il mantenimento di una presenza sostenibile di lungo periodo;</w:t>
      </w:r>
    </w:p>
    <w:p w:rsidR="007F7839" w:rsidRPr="007F7839" w:rsidRDefault="007F7839" w:rsidP="007F7839">
      <w:pPr>
        <w:contextualSpacing/>
        <w:rPr>
          <w:rFonts w:ascii="Verdana" w:hAnsi="Verdana"/>
          <w:sz w:val="22"/>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Nell’ambito delle discussioni relative al Progetto di Aggregazione, le Parti hanno valutato l’opportunità di procedere allo stesso in diverse fasi e, più precisamente, tramite operazioni di integrazione societaria in ACSM-AGAM e successivi confer</w:t>
      </w:r>
      <w:r w:rsidRPr="007F7839">
        <w:rPr>
          <w:rFonts w:ascii="Verdana" w:hAnsi="Verdana"/>
          <w:sz w:val="22"/>
          <w:szCs w:val="22"/>
        </w:rPr>
        <w:t>i</w:t>
      </w:r>
      <w:r w:rsidRPr="007F7839">
        <w:rPr>
          <w:rFonts w:ascii="Verdana" w:hAnsi="Verdana"/>
          <w:sz w:val="22"/>
          <w:szCs w:val="22"/>
        </w:rPr>
        <w:t>menti in società neocostituite (“</w:t>
      </w:r>
      <w:proofErr w:type="spellStart"/>
      <w:r w:rsidRPr="007F7839">
        <w:rPr>
          <w:rFonts w:ascii="Verdana" w:hAnsi="Verdana"/>
          <w:b/>
          <w:sz w:val="22"/>
          <w:szCs w:val="22"/>
        </w:rPr>
        <w:t>NewCo</w:t>
      </w:r>
      <w:proofErr w:type="spellEnd"/>
      <w:r w:rsidRPr="007F7839">
        <w:rPr>
          <w:rFonts w:ascii="Verdana" w:hAnsi="Verdana"/>
          <w:sz w:val="22"/>
          <w:szCs w:val="22"/>
        </w:rPr>
        <w:t>”) e/o in società già esistenti (“</w:t>
      </w:r>
      <w:r w:rsidRPr="007F7839">
        <w:rPr>
          <w:rFonts w:ascii="Verdana" w:hAnsi="Verdana"/>
          <w:b/>
          <w:sz w:val="22"/>
          <w:szCs w:val="22"/>
        </w:rPr>
        <w:t>Società Preesistenti</w:t>
      </w:r>
      <w:r w:rsidRPr="007F7839">
        <w:rPr>
          <w:rFonts w:ascii="Verdana" w:hAnsi="Verdana"/>
          <w:sz w:val="22"/>
          <w:szCs w:val="22"/>
        </w:rPr>
        <w:t>”) dei rami d’azienda ricevuti dalla stessa ACSM-AGAM a seguito delle predette operazioni di integrazione societaria o comunque già detenuti dalla stessa;</w:t>
      </w:r>
    </w:p>
    <w:p w:rsidR="007F7839" w:rsidRPr="007F7839" w:rsidRDefault="007F7839" w:rsidP="007F7839">
      <w:pPr>
        <w:contextualSpacing/>
        <w:rPr>
          <w:rFonts w:ascii="Verdana" w:hAnsi="Verdana"/>
          <w:sz w:val="22"/>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In particolare, è previsto che il Progetto di Aggregazione venga attuato sulla base dei seguenti passaggi:</w:t>
      </w:r>
    </w:p>
    <w:p w:rsidR="007F7839" w:rsidRPr="007F7839" w:rsidRDefault="007F7839" w:rsidP="0067665F">
      <w:pPr>
        <w:pStyle w:val="ListArabic1"/>
        <w:numPr>
          <w:ilvl w:val="4"/>
          <w:numId w:val="19"/>
        </w:numPr>
        <w:tabs>
          <w:tab w:val="clear" w:pos="22"/>
          <w:tab w:val="clear" w:pos="2438"/>
        </w:tabs>
        <w:spacing w:after="0" w:line="240" w:lineRule="auto"/>
        <w:ind w:left="993" w:hanging="426"/>
        <w:contextualSpacing/>
        <w:rPr>
          <w:rFonts w:ascii="Verdana" w:hAnsi="Verdana"/>
          <w:szCs w:val="22"/>
        </w:rPr>
      </w:pPr>
      <w:r w:rsidRPr="007F7839">
        <w:rPr>
          <w:rFonts w:ascii="Verdana" w:hAnsi="Verdana"/>
          <w:szCs w:val="22"/>
        </w:rPr>
        <w:t>il conferimento da parte di A2A S.p.A. in A2A Idro4 S.r.l. di n. 4 centrali idroelettriche localizzate nella Lombardia Settentrionale insieme ai rapporti, attività e passività ad essi relativi;</w:t>
      </w:r>
    </w:p>
    <w:p w:rsidR="007F7839" w:rsidRPr="007F7839" w:rsidRDefault="007F7839" w:rsidP="0067665F">
      <w:pPr>
        <w:pStyle w:val="ListArabic1"/>
        <w:numPr>
          <w:ilvl w:val="4"/>
          <w:numId w:val="19"/>
        </w:numPr>
        <w:tabs>
          <w:tab w:val="clear" w:pos="22"/>
          <w:tab w:val="clear" w:pos="2438"/>
        </w:tabs>
        <w:spacing w:after="0" w:line="240" w:lineRule="auto"/>
        <w:ind w:left="993" w:hanging="426"/>
        <w:contextualSpacing/>
        <w:rPr>
          <w:rFonts w:ascii="Verdana" w:hAnsi="Verdana"/>
          <w:szCs w:val="22"/>
        </w:rPr>
      </w:pPr>
      <w:r w:rsidRPr="007F7839">
        <w:rPr>
          <w:rFonts w:ascii="Verdana" w:hAnsi="Verdana"/>
          <w:szCs w:val="22"/>
        </w:rPr>
        <w:t xml:space="preserve">le fusioni per incorporazione in ACSM-AGAM di A2A Idro4 S.r.l., </w:t>
      </w:r>
      <w:r w:rsidRPr="007F7839">
        <w:rPr>
          <w:rFonts w:ascii="Verdana" w:hAnsi="Verdana"/>
          <w:iCs/>
          <w:szCs w:val="22"/>
        </w:rPr>
        <w:t>ACEL Service S.r.l., AEVV Energie S.r.l., ASPEM, AEVV e Lario Reti Gas S.r.l. (la “</w:t>
      </w:r>
      <w:r w:rsidRPr="007F7839">
        <w:rPr>
          <w:rFonts w:ascii="Verdana" w:hAnsi="Verdana"/>
          <w:b/>
          <w:iCs/>
          <w:szCs w:val="22"/>
        </w:rPr>
        <w:t>Fusione</w:t>
      </w:r>
      <w:r w:rsidRPr="007F7839">
        <w:rPr>
          <w:rFonts w:ascii="Verdana" w:hAnsi="Verdana"/>
          <w:iCs/>
          <w:szCs w:val="22"/>
        </w:rPr>
        <w:t>” e le “</w:t>
      </w:r>
      <w:r w:rsidRPr="007F7839">
        <w:rPr>
          <w:rFonts w:ascii="Verdana" w:hAnsi="Verdana"/>
          <w:b/>
          <w:iCs/>
          <w:szCs w:val="22"/>
        </w:rPr>
        <w:t xml:space="preserve">Società </w:t>
      </w:r>
      <w:proofErr w:type="spellStart"/>
      <w:r w:rsidRPr="007F7839">
        <w:rPr>
          <w:rFonts w:ascii="Verdana" w:hAnsi="Verdana"/>
          <w:b/>
          <w:iCs/>
          <w:szCs w:val="22"/>
        </w:rPr>
        <w:t>Incorporande</w:t>
      </w:r>
      <w:proofErr w:type="spellEnd"/>
      <w:r w:rsidRPr="007F7839">
        <w:rPr>
          <w:rFonts w:ascii="Verdana" w:hAnsi="Verdana"/>
          <w:iCs/>
          <w:szCs w:val="22"/>
        </w:rPr>
        <w:t>”)</w:t>
      </w:r>
      <w:r w:rsidRPr="007F7839">
        <w:rPr>
          <w:rFonts w:ascii="Verdana" w:hAnsi="Verdana"/>
          <w:szCs w:val="22"/>
        </w:rPr>
        <w:t xml:space="preserve">; </w:t>
      </w:r>
    </w:p>
    <w:p w:rsidR="007F7839" w:rsidRPr="007F7839" w:rsidRDefault="007F7839" w:rsidP="0067665F">
      <w:pPr>
        <w:pStyle w:val="ListArabic1"/>
        <w:numPr>
          <w:ilvl w:val="4"/>
          <w:numId w:val="19"/>
        </w:numPr>
        <w:tabs>
          <w:tab w:val="clear" w:pos="22"/>
          <w:tab w:val="clear" w:pos="2438"/>
        </w:tabs>
        <w:spacing w:after="0" w:line="240" w:lineRule="auto"/>
        <w:ind w:left="993" w:hanging="426"/>
        <w:contextualSpacing/>
        <w:rPr>
          <w:rFonts w:ascii="Verdana" w:hAnsi="Verdana"/>
          <w:szCs w:val="22"/>
        </w:rPr>
      </w:pPr>
      <w:r w:rsidRPr="007F7839">
        <w:rPr>
          <w:rFonts w:ascii="Verdana" w:hAnsi="Verdana"/>
          <w:szCs w:val="22"/>
        </w:rPr>
        <w:t>la scissione da A2A Energia S.p.A. (la “</w:t>
      </w:r>
      <w:r w:rsidRPr="007F7839">
        <w:rPr>
          <w:rFonts w:ascii="Verdana" w:hAnsi="Verdana"/>
          <w:b/>
          <w:szCs w:val="22"/>
        </w:rPr>
        <w:t>Società Scissa</w:t>
      </w:r>
      <w:r w:rsidRPr="007F7839">
        <w:rPr>
          <w:rFonts w:ascii="Verdana" w:hAnsi="Verdana"/>
          <w:szCs w:val="22"/>
        </w:rPr>
        <w:t>”) ad ACSM-AGAM del ramo d’azienda costituito dai clienti energia localizzati nella provincia di Var</w:t>
      </w:r>
      <w:r w:rsidRPr="007F7839">
        <w:rPr>
          <w:rFonts w:ascii="Verdana" w:hAnsi="Verdana"/>
          <w:szCs w:val="22"/>
        </w:rPr>
        <w:t>e</w:t>
      </w:r>
      <w:r w:rsidRPr="007F7839">
        <w:rPr>
          <w:rFonts w:ascii="Verdana" w:hAnsi="Verdana"/>
          <w:szCs w:val="22"/>
        </w:rPr>
        <w:t>se (la “</w:t>
      </w:r>
      <w:r w:rsidRPr="007F7839">
        <w:rPr>
          <w:rFonts w:ascii="Verdana" w:hAnsi="Verdana"/>
          <w:b/>
          <w:szCs w:val="22"/>
        </w:rPr>
        <w:t>Scissione</w:t>
      </w:r>
      <w:r w:rsidRPr="007F7839">
        <w:rPr>
          <w:rFonts w:ascii="Verdana" w:hAnsi="Verdana"/>
          <w:szCs w:val="22"/>
        </w:rPr>
        <w:t>”);</w:t>
      </w:r>
    </w:p>
    <w:p w:rsidR="007F7839" w:rsidRPr="007F7839" w:rsidRDefault="007F7839" w:rsidP="0067665F">
      <w:pPr>
        <w:pStyle w:val="Corpotesto"/>
        <w:numPr>
          <w:ilvl w:val="4"/>
          <w:numId w:val="19"/>
        </w:numPr>
        <w:tabs>
          <w:tab w:val="clear" w:pos="709"/>
          <w:tab w:val="clear" w:pos="2438"/>
        </w:tabs>
        <w:ind w:left="993" w:hanging="426"/>
        <w:contextualSpacing/>
        <w:jc w:val="both"/>
        <w:rPr>
          <w:rFonts w:ascii="Verdana" w:hAnsi="Verdana"/>
          <w:sz w:val="22"/>
          <w:szCs w:val="22"/>
        </w:rPr>
      </w:pPr>
      <w:r w:rsidRPr="007F7839">
        <w:rPr>
          <w:rFonts w:ascii="Verdana" w:hAnsi="Verdana"/>
          <w:sz w:val="22"/>
          <w:szCs w:val="22"/>
        </w:rPr>
        <w:t xml:space="preserve">la costituzione delle </w:t>
      </w:r>
      <w:proofErr w:type="spellStart"/>
      <w:r w:rsidRPr="007F7839">
        <w:rPr>
          <w:rFonts w:ascii="Verdana" w:hAnsi="Verdana"/>
          <w:sz w:val="22"/>
          <w:szCs w:val="22"/>
        </w:rPr>
        <w:t>NewCo</w:t>
      </w:r>
      <w:proofErr w:type="spellEnd"/>
      <w:r w:rsidRPr="007F7839">
        <w:rPr>
          <w:rFonts w:ascii="Verdana" w:hAnsi="Verdana"/>
          <w:sz w:val="22"/>
          <w:szCs w:val="22"/>
        </w:rPr>
        <w:t xml:space="preserve"> in cui ACSM-AGAM conferirà, in parte, i rami di azienda ricevuti per effetto della Fusione e della Scissione;</w:t>
      </w:r>
    </w:p>
    <w:p w:rsidR="00D033B5" w:rsidRPr="0067665F" w:rsidRDefault="007F7839" w:rsidP="0067665F">
      <w:pPr>
        <w:pStyle w:val="Corpotesto"/>
        <w:numPr>
          <w:ilvl w:val="4"/>
          <w:numId w:val="19"/>
        </w:numPr>
        <w:tabs>
          <w:tab w:val="clear" w:pos="709"/>
          <w:tab w:val="clear" w:pos="2438"/>
        </w:tabs>
        <w:ind w:left="993" w:hanging="426"/>
        <w:contextualSpacing/>
        <w:jc w:val="both"/>
        <w:rPr>
          <w:rFonts w:ascii="Verdana" w:hAnsi="Verdana"/>
          <w:sz w:val="22"/>
          <w:szCs w:val="22"/>
        </w:rPr>
      </w:pPr>
      <w:r w:rsidRPr="007F7839">
        <w:rPr>
          <w:rFonts w:ascii="Verdana" w:hAnsi="Verdana"/>
          <w:sz w:val="22"/>
          <w:szCs w:val="22"/>
        </w:rPr>
        <w:t xml:space="preserve">l’esecuzione da parte di ACSM-AGAM dei conferimenti in natura dei rami di azienda ricevuti per effetto della Fusione e della Scissione nonché di alcuni rami di azienda già detenuti da ACSM-AGAM nelle </w:t>
      </w:r>
      <w:proofErr w:type="spellStart"/>
      <w:r w:rsidRPr="007F7839">
        <w:rPr>
          <w:rFonts w:ascii="Verdana" w:hAnsi="Verdana"/>
          <w:sz w:val="22"/>
          <w:szCs w:val="22"/>
        </w:rPr>
        <w:t>NewCo</w:t>
      </w:r>
      <w:proofErr w:type="spellEnd"/>
      <w:r w:rsidRPr="007F7839">
        <w:rPr>
          <w:rFonts w:ascii="Verdana" w:hAnsi="Verdana"/>
          <w:sz w:val="22"/>
          <w:szCs w:val="22"/>
        </w:rPr>
        <w:t xml:space="preserve"> e nelle Società Preesistenti (i “</w:t>
      </w:r>
      <w:r w:rsidRPr="007F7839">
        <w:rPr>
          <w:rFonts w:ascii="Verdana" w:hAnsi="Verdana"/>
          <w:b/>
          <w:sz w:val="22"/>
          <w:szCs w:val="22"/>
        </w:rPr>
        <w:t>Conferimenti</w:t>
      </w:r>
      <w:r w:rsidRPr="007F7839">
        <w:rPr>
          <w:rFonts w:ascii="Verdana" w:hAnsi="Verdana"/>
          <w:sz w:val="22"/>
          <w:szCs w:val="22"/>
        </w:rPr>
        <w:t>”);</w:t>
      </w:r>
    </w:p>
    <w:p w:rsidR="00D033B5" w:rsidRPr="007F7839" w:rsidRDefault="00D033B5" w:rsidP="007F7839">
      <w:pPr>
        <w:contextualSpacing/>
        <w:rPr>
          <w:rFonts w:ascii="Verdana" w:hAnsi="Verdana"/>
          <w:sz w:val="22"/>
          <w:szCs w:val="22"/>
        </w:rPr>
      </w:pPr>
    </w:p>
    <w:p w:rsidR="008F6246"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A questo riguardo, si rileva che nelle scorse settimane le Parti hanno raggiunto gli accordi per implementare il Progetto di Aggregazione ed è stato, quindi, neg</w:t>
      </w:r>
      <w:r w:rsidRPr="007F7839">
        <w:rPr>
          <w:rFonts w:ascii="Verdana" w:hAnsi="Verdana"/>
          <w:sz w:val="22"/>
          <w:szCs w:val="22"/>
        </w:rPr>
        <w:t>o</w:t>
      </w:r>
      <w:r w:rsidRPr="007F7839">
        <w:rPr>
          <w:rFonts w:ascii="Verdana" w:hAnsi="Verdana"/>
          <w:sz w:val="22"/>
          <w:szCs w:val="22"/>
        </w:rPr>
        <w:t>ziato il contenuto di un accordo quadro (l’“</w:t>
      </w:r>
      <w:r w:rsidRPr="007F7839">
        <w:rPr>
          <w:rFonts w:ascii="Verdana" w:hAnsi="Verdana"/>
          <w:b/>
          <w:sz w:val="22"/>
          <w:szCs w:val="22"/>
        </w:rPr>
        <w:t>Accordo Quadro</w:t>
      </w:r>
      <w:r w:rsidR="008F6246">
        <w:rPr>
          <w:rFonts w:ascii="Verdana" w:hAnsi="Verdana"/>
          <w:sz w:val="22"/>
          <w:szCs w:val="22"/>
        </w:rPr>
        <w:t>”) con cui vengono regolate:</w:t>
      </w:r>
    </w:p>
    <w:p w:rsidR="008F6246" w:rsidRPr="008F6246" w:rsidRDefault="007F7839" w:rsidP="0067665F">
      <w:pPr>
        <w:pStyle w:val="Paragrafoelenco"/>
        <w:numPr>
          <w:ilvl w:val="0"/>
          <w:numId w:val="35"/>
        </w:numPr>
        <w:ind w:left="993" w:hanging="426"/>
        <w:jc w:val="both"/>
        <w:rPr>
          <w:rFonts w:ascii="Verdana" w:hAnsi="Verdana"/>
          <w:sz w:val="22"/>
          <w:szCs w:val="22"/>
        </w:rPr>
      </w:pPr>
      <w:r w:rsidRPr="008F6246">
        <w:rPr>
          <w:rFonts w:ascii="Verdana" w:hAnsi="Verdana"/>
          <w:sz w:val="22"/>
          <w:szCs w:val="22"/>
        </w:rPr>
        <w:t>le attività ed i passaggi necessari per implementare il Progetto di Aggreg</w:t>
      </w:r>
      <w:r w:rsidRPr="008F6246">
        <w:rPr>
          <w:rFonts w:ascii="Verdana" w:hAnsi="Verdana"/>
          <w:sz w:val="22"/>
          <w:szCs w:val="22"/>
        </w:rPr>
        <w:t>a</w:t>
      </w:r>
      <w:r w:rsidRPr="008F6246">
        <w:rPr>
          <w:rFonts w:ascii="Verdana" w:hAnsi="Verdana"/>
          <w:sz w:val="22"/>
          <w:szCs w:val="22"/>
        </w:rPr>
        <w:t xml:space="preserve">zione, </w:t>
      </w:r>
    </w:p>
    <w:p w:rsidR="008F6246" w:rsidRDefault="007F7839" w:rsidP="0067665F">
      <w:pPr>
        <w:pStyle w:val="Paragrafoelenco"/>
        <w:numPr>
          <w:ilvl w:val="0"/>
          <w:numId w:val="35"/>
        </w:numPr>
        <w:ind w:left="993" w:hanging="426"/>
        <w:jc w:val="both"/>
        <w:rPr>
          <w:rFonts w:ascii="Verdana" w:hAnsi="Verdana"/>
          <w:sz w:val="22"/>
          <w:szCs w:val="22"/>
        </w:rPr>
      </w:pPr>
      <w:r w:rsidRPr="008F6246">
        <w:rPr>
          <w:rFonts w:ascii="Verdana" w:hAnsi="Verdana"/>
          <w:sz w:val="22"/>
          <w:szCs w:val="22"/>
        </w:rPr>
        <w:t>la definizione del modello organizzativo e del piano industriale di ACSM-AGAM successivamente alla realizzazione del Progetto di Aggrega</w:t>
      </w:r>
      <w:r w:rsidR="008F6246">
        <w:rPr>
          <w:rFonts w:ascii="Verdana" w:hAnsi="Verdana"/>
          <w:sz w:val="22"/>
          <w:szCs w:val="22"/>
        </w:rPr>
        <w:t>zione,</w:t>
      </w:r>
    </w:p>
    <w:p w:rsidR="008F6246" w:rsidRDefault="007F7839" w:rsidP="0067665F">
      <w:pPr>
        <w:pStyle w:val="Paragrafoelenco"/>
        <w:numPr>
          <w:ilvl w:val="0"/>
          <w:numId w:val="35"/>
        </w:numPr>
        <w:ind w:left="993" w:hanging="426"/>
        <w:jc w:val="both"/>
        <w:rPr>
          <w:rFonts w:ascii="Verdana" w:hAnsi="Verdana"/>
          <w:sz w:val="22"/>
          <w:szCs w:val="22"/>
        </w:rPr>
      </w:pPr>
      <w:r w:rsidRPr="008F6246">
        <w:rPr>
          <w:rFonts w:ascii="Verdana" w:hAnsi="Verdana"/>
          <w:sz w:val="22"/>
          <w:szCs w:val="22"/>
        </w:rPr>
        <w:t xml:space="preserve">la definizione della </w:t>
      </w:r>
      <w:r w:rsidRPr="008F6246">
        <w:rPr>
          <w:rFonts w:ascii="Verdana" w:hAnsi="Verdana"/>
          <w:i/>
          <w:sz w:val="22"/>
          <w:szCs w:val="22"/>
        </w:rPr>
        <w:t>corporate governance</w:t>
      </w:r>
      <w:r w:rsidRPr="008F6246">
        <w:rPr>
          <w:rFonts w:ascii="Verdana" w:hAnsi="Verdana"/>
          <w:sz w:val="22"/>
          <w:szCs w:val="22"/>
        </w:rPr>
        <w:t xml:space="preserve"> di ACSM-AGAM mediante la sott</w:t>
      </w:r>
      <w:r w:rsidRPr="008F6246">
        <w:rPr>
          <w:rFonts w:ascii="Verdana" w:hAnsi="Verdana"/>
          <w:sz w:val="22"/>
          <w:szCs w:val="22"/>
        </w:rPr>
        <w:t>o</w:t>
      </w:r>
      <w:r w:rsidRPr="008F6246">
        <w:rPr>
          <w:rFonts w:ascii="Verdana" w:hAnsi="Verdana"/>
          <w:sz w:val="22"/>
          <w:szCs w:val="22"/>
        </w:rPr>
        <w:t>scrizione di un patto parasociale (il “</w:t>
      </w:r>
      <w:r w:rsidRPr="008F6246">
        <w:rPr>
          <w:rFonts w:ascii="Verdana" w:hAnsi="Verdana"/>
          <w:b/>
          <w:sz w:val="22"/>
          <w:szCs w:val="22"/>
        </w:rPr>
        <w:t>Patto Parasociale</w:t>
      </w:r>
      <w:r w:rsidRPr="008F6246">
        <w:rPr>
          <w:rFonts w:ascii="Verdana" w:hAnsi="Verdana"/>
          <w:sz w:val="22"/>
          <w:szCs w:val="22"/>
        </w:rPr>
        <w:t>”) e di tutte le società che saranno controllate dalla stessa a seguito del Progetto di Aggre</w:t>
      </w:r>
      <w:r w:rsidR="008F6246">
        <w:rPr>
          <w:rFonts w:ascii="Verdana" w:hAnsi="Verdana"/>
          <w:sz w:val="22"/>
          <w:szCs w:val="22"/>
        </w:rPr>
        <w:t>gazione.</w:t>
      </w:r>
    </w:p>
    <w:p w:rsidR="007F7839" w:rsidRPr="008F6246" w:rsidRDefault="007F7839" w:rsidP="0067665F">
      <w:pPr>
        <w:pStyle w:val="Paragrafoelenco"/>
        <w:numPr>
          <w:ilvl w:val="0"/>
          <w:numId w:val="35"/>
        </w:numPr>
        <w:ind w:left="993" w:hanging="426"/>
        <w:jc w:val="both"/>
        <w:rPr>
          <w:rFonts w:ascii="Verdana" w:hAnsi="Verdana"/>
          <w:sz w:val="22"/>
          <w:szCs w:val="22"/>
        </w:rPr>
      </w:pPr>
      <w:r w:rsidRPr="008F6246">
        <w:rPr>
          <w:rFonts w:ascii="Verdana" w:hAnsi="Verdana"/>
          <w:sz w:val="22"/>
          <w:szCs w:val="22"/>
        </w:rPr>
        <w:t>il nuovo statuto di ACSM-AGAM;</w:t>
      </w:r>
    </w:p>
    <w:p w:rsidR="007F7839" w:rsidRDefault="007F7839" w:rsidP="007F7839">
      <w:pPr>
        <w:pStyle w:val="Paragrafoelenco"/>
        <w:ind w:left="567"/>
        <w:jc w:val="both"/>
        <w:rPr>
          <w:rFonts w:ascii="Verdana" w:hAnsi="Verdana"/>
          <w:sz w:val="22"/>
          <w:szCs w:val="22"/>
        </w:rPr>
      </w:pPr>
    </w:p>
    <w:p w:rsidR="00811432" w:rsidRDefault="00811432" w:rsidP="0067665F">
      <w:pPr>
        <w:pStyle w:val="Paragrafoelenco"/>
        <w:numPr>
          <w:ilvl w:val="0"/>
          <w:numId w:val="21"/>
        </w:numPr>
        <w:ind w:left="567" w:hanging="567"/>
        <w:jc w:val="both"/>
        <w:rPr>
          <w:rFonts w:ascii="Verdana" w:hAnsi="Verdana"/>
          <w:sz w:val="22"/>
          <w:szCs w:val="22"/>
        </w:rPr>
      </w:pPr>
      <w:r>
        <w:rPr>
          <w:rFonts w:ascii="Verdana" w:hAnsi="Verdana"/>
          <w:sz w:val="22"/>
          <w:szCs w:val="22"/>
        </w:rPr>
        <w:t>Nell</w:t>
      </w:r>
      <w:r w:rsidR="0044468E">
        <w:rPr>
          <w:rFonts w:ascii="Verdana" w:hAnsi="Verdana"/>
          <w:sz w:val="22"/>
          <w:szCs w:val="22"/>
        </w:rPr>
        <w:t>’ambito dell’</w:t>
      </w:r>
      <w:r>
        <w:rPr>
          <w:rFonts w:ascii="Verdana" w:hAnsi="Verdana"/>
          <w:sz w:val="22"/>
          <w:szCs w:val="22"/>
        </w:rPr>
        <w:t>Accordo Quadro, le Parti hanno individuato specifiche attività</w:t>
      </w:r>
      <w:r w:rsidR="00A02795">
        <w:rPr>
          <w:rFonts w:ascii="Verdana" w:hAnsi="Verdana"/>
          <w:sz w:val="22"/>
          <w:szCs w:val="22"/>
        </w:rPr>
        <w:t xml:space="preserve"> consentite</w:t>
      </w:r>
      <w:r>
        <w:rPr>
          <w:rFonts w:ascii="Verdana" w:hAnsi="Verdana"/>
          <w:sz w:val="22"/>
          <w:szCs w:val="22"/>
        </w:rPr>
        <w:t xml:space="preserve"> la cui implementazione </w:t>
      </w:r>
      <w:r w:rsidR="00A02795">
        <w:rPr>
          <w:rFonts w:ascii="Verdana" w:hAnsi="Verdana"/>
          <w:sz w:val="22"/>
          <w:szCs w:val="22"/>
        </w:rPr>
        <w:t>è prevista</w:t>
      </w:r>
      <w:r>
        <w:rPr>
          <w:rFonts w:ascii="Verdana" w:hAnsi="Verdana"/>
          <w:sz w:val="22"/>
          <w:szCs w:val="22"/>
        </w:rPr>
        <w:t xml:space="preserve"> tra la data di sottoscrizione dell’Accordo</w:t>
      </w:r>
      <w:r w:rsidR="00A02795">
        <w:rPr>
          <w:rFonts w:ascii="Verdana" w:hAnsi="Verdana"/>
          <w:sz w:val="22"/>
          <w:szCs w:val="22"/>
        </w:rPr>
        <w:t xml:space="preserve"> </w:t>
      </w:r>
      <w:r>
        <w:rPr>
          <w:rFonts w:ascii="Verdana" w:hAnsi="Verdana"/>
          <w:sz w:val="22"/>
          <w:szCs w:val="22"/>
        </w:rPr>
        <w:t>e la data di efficacia della Fusione</w:t>
      </w:r>
      <w:r w:rsidR="00A02795">
        <w:rPr>
          <w:rFonts w:ascii="Verdana" w:hAnsi="Verdana"/>
          <w:sz w:val="22"/>
          <w:szCs w:val="22"/>
        </w:rPr>
        <w:t>,</w:t>
      </w:r>
      <w:r>
        <w:rPr>
          <w:rFonts w:ascii="Verdana" w:hAnsi="Verdana"/>
          <w:sz w:val="22"/>
          <w:szCs w:val="22"/>
        </w:rPr>
        <w:t xml:space="preserve"> </w:t>
      </w:r>
      <w:r w:rsidR="006503C6">
        <w:rPr>
          <w:rFonts w:ascii="Verdana" w:hAnsi="Verdana"/>
          <w:sz w:val="22"/>
          <w:szCs w:val="22"/>
        </w:rPr>
        <w:t>così come indicato nell’</w:t>
      </w:r>
      <w:r w:rsidR="00A02795">
        <w:rPr>
          <w:rFonts w:ascii="Verdana" w:hAnsi="Verdana"/>
          <w:sz w:val="22"/>
          <w:szCs w:val="22"/>
        </w:rPr>
        <w:t>“</w:t>
      </w:r>
      <w:r w:rsidR="006503C6" w:rsidRPr="00376188">
        <w:rPr>
          <w:rFonts w:ascii="Verdana" w:hAnsi="Verdana"/>
          <w:sz w:val="22"/>
          <w:szCs w:val="22"/>
        </w:rPr>
        <w:t>Allegato 9.4: Attività consentite nel Periodo Interinale</w:t>
      </w:r>
      <w:r w:rsidR="00A02795">
        <w:rPr>
          <w:rFonts w:ascii="Verdana" w:hAnsi="Verdana"/>
          <w:sz w:val="22"/>
          <w:szCs w:val="22"/>
        </w:rPr>
        <w:t>”</w:t>
      </w:r>
      <w:r w:rsidR="006503C6">
        <w:rPr>
          <w:rFonts w:ascii="Verdana" w:hAnsi="Verdana"/>
          <w:sz w:val="22"/>
          <w:szCs w:val="22"/>
        </w:rPr>
        <w:t>.</w:t>
      </w:r>
    </w:p>
    <w:p w:rsidR="006503C6" w:rsidRPr="0067665F" w:rsidRDefault="00A02795">
      <w:pPr>
        <w:pStyle w:val="Paragrafoelenco"/>
        <w:ind w:left="567"/>
        <w:jc w:val="both"/>
        <w:rPr>
          <w:rFonts w:ascii="Verdana" w:hAnsi="Verdana"/>
          <w:sz w:val="22"/>
          <w:szCs w:val="22"/>
        </w:rPr>
      </w:pPr>
      <w:r>
        <w:rPr>
          <w:rFonts w:ascii="Verdana" w:hAnsi="Verdana"/>
          <w:sz w:val="22"/>
          <w:szCs w:val="22"/>
        </w:rPr>
        <w:t xml:space="preserve">In particolare, tra tali attività, si rileva il conferimento </w:t>
      </w:r>
      <w:r w:rsidR="0044468E">
        <w:rPr>
          <w:rFonts w:ascii="Verdana" w:hAnsi="Verdana"/>
          <w:sz w:val="22"/>
          <w:szCs w:val="22"/>
        </w:rPr>
        <w:t xml:space="preserve">da parte di LRH </w:t>
      </w:r>
      <w:r>
        <w:rPr>
          <w:rFonts w:ascii="Verdana" w:hAnsi="Verdana"/>
          <w:sz w:val="22"/>
          <w:szCs w:val="22"/>
        </w:rPr>
        <w:t>in Lario Reti Gas S.r.l. del</w:t>
      </w:r>
      <w:r w:rsidR="006503C6">
        <w:rPr>
          <w:rFonts w:ascii="Verdana" w:hAnsi="Verdana"/>
          <w:sz w:val="22"/>
          <w:szCs w:val="22"/>
        </w:rPr>
        <w:t xml:space="preserve"> ramo d’azienda </w:t>
      </w:r>
      <w:r w:rsidR="0067665F">
        <w:rPr>
          <w:rFonts w:ascii="Verdana" w:hAnsi="Verdana"/>
          <w:sz w:val="22"/>
          <w:szCs w:val="22"/>
        </w:rPr>
        <w:t>per i servizi svolti a favore della propria co</w:t>
      </w:r>
      <w:r w:rsidR="0067665F">
        <w:rPr>
          <w:rFonts w:ascii="Verdana" w:hAnsi="Verdana"/>
          <w:sz w:val="22"/>
          <w:szCs w:val="22"/>
        </w:rPr>
        <w:t>n</w:t>
      </w:r>
      <w:r w:rsidR="0067665F">
        <w:rPr>
          <w:rFonts w:ascii="Verdana" w:hAnsi="Verdana"/>
          <w:sz w:val="22"/>
          <w:szCs w:val="22"/>
        </w:rPr>
        <w:t>trollata</w:t>
      </w:r>
      <w:r w:rsidR="006503C6">
        <w:rPr>
          <w:rFonts w:ascii="Verdana" w:hAnsi="Verdana"/>
          <w:sz w:val="22"/>
          <w:szCs w:val="22"/>
        </w:rPr>
        <w:t xml:space="preserve"> (di seguito il “</w:t>
      </w:r>
      <w:r w:rsidR="006503C6" w:rsidRPr="0067665F">
        <w:rPr>
          <w:rFonts w:ascii="Verdana" w:hAnsi="Verdana"/>
          <w:b/>
          <w:sz w:val="22"/>
          <w:szCs w:val="22"/>
        </w:rPr>
        <w:t>Ramo d’Azienda</w:t>
      </w:r>
      <w:r w:rsidR="006503C6">
        <w:rPr>
          <w:rFonts w:ascii="Verdana" w:hAnsi="Verdana"/>
          <w:sz w:val="22"/>
          <w:szCs w:val="22"/>
        </w:rPr>
        <w:t>”);</w:t>
      </w:r>
    </w:p>
    <w:p w:rsidR="00811432" w:rsidRPr="007F7839" w:rsidRDefault="00811432" w:rsidP="007F7839">
      <w:pPr>
        <w:pStyle w:val="Paragrafoelenco"/>
        <w:ind w:left="567"/>
        <w:jc w:val="both"/>
        <w:rPr>
          <w:rFonts w:ascii="Verdana" w:hAnsi="Verdana"/>
          <w:sz w:val="22"/>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L’Accordo Quadro prevede che l’implementazione del Progetto di Aggregazione è sospensivamente condizionata all’avveramento di specifiche condizioni sospens</w:t>
      </w:r>
      <w:r w:rsidRPr="007F7839">
        <w:rPr>
          <w:rFonts w:ascii="Verdana" w:hAnsi="Verdana"/>
          <w:sz w:val="22"/>
          <w:szCs w:val="22"/>
        </w:rPr>
        <w:t>i</w:t>
      </w:r>
      <w:r w:rsidRPr="007F7839">
        <w:rPr>
          <w:rFonts w:ascii="Verdana" w:hAnsi="Verdana"/>
          <w:sz w:val="22"/>
          <w:szCs w:val="22"/>
        </w:rPr>
        <w:t>ve, tra cui, in particolare, il rilascio del parere positivo del perito nominato dal Tribunale di Monza (</w:t>
      </w:r>
      <w:proofErr w:type="spellStart"/>
      <w:r w:rsidRPr="007F7839">
        <w:rPr>
          <w:rFonts w:ascii="Verdana" w:hAnsi="Verdana"/>
          <w:sz w:val="22"/>
          <w:szCs w:val="22"/>
        </w:rPr>
        <w:t>Reconta</w:t>
      </w:r>
      <w:proofErr w:type="spellEnd"/>
      <w:r w:rsidRPr="007F7839">
        <w:rPr>
          <w:rFonts w:ascii="Verdana" w:hAnsi="Verdana"/>
          <w:sz w:val="22"/>
          <w:szCs w:val="22"/>
        </w:rPr>
        <w:t xml:space="preserve"> Ernst &amp; Young S.p.A.) sul rapporto di cambio della Fusione e della Scissione, espresso nella relazione sulla congruità del rapporto di cambio redatta ai sensi dell’articolo 2501-</w:t>
      </w:r>
      <w:r w:rsidRPr="007F7839">
        <w:rPr>
          <w:rFonts w:ascii="Verdana" w:hAnsi="Verdana"/>
          <w:i/>
          <w:sz w:val="22"/>
          <w:szCs w:val="22"/>
        </w:rPr>
        <w:t>sexies</w:t>
      </w:r>
      <w:r w:rsidRPr="007F7839">
        <w:rPr>
          <w:rFonts w:ascii="Verdana" w:hAnsi="Verdana"/>
          <w:sz w:val="22"/>
          <w:szCs w:val="22"/>
        </w:rPr>
        <w:t>, Codice Civile;</w:t>
      </w:r>
    </w:p>
    <w:p w:rsidR="007F7839" w:rsidRPr="007F7839" w:rsidRDefault="007F7839" w:rsidP="007F7839">
      <w:pPr>
        <w:contextualSpacing/>
        <w:rPr>
          <w:rFonts w:ascii="Verdana" w:hAnsi="Verdana"/>
          <w:sz w:val="22"/>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Con riferimento alla Fusione e alla Scissione, si rileva che:</w:t>
      </w:r>
    </w:p>
    <w:p w:rsidR="007F7839" w:rsidRPr="007F7839" w:rsidRDefault="007F7839" w:rsidP="0067665F">
      <w:pPr>
        <w:pStyle w:val="Paragrafoelenco"/>
        <w:numPr>
          <w:ilvl w:val="4"/>
          <w:numId w:val="22"/>
        </w:numPr>
        <w:tabs>
          <w:tab w:val="clear" w:pos="2438"/>
        </w:tabs>
        <w:ind w:left="993" w:hanging="426"/>
        <w:jc w:val="both"/>
        <w:rPr>
          <w:rFonts w:ascii="Verdana" w:hAnsi="Verdana"/>
          <w:sz w:val="22"/>
          <w:szCs w:val="22"/>
        </w:rPr>
      </w:pPr>
      <w:r w:rsidRPr="007F7839">
        <w:rPr>
          <w:rFonts w:ascii="Verdana" w:hAnsi="Verdana"/>
          <w:sz w:val="22"/>
          <w:szCs w:val="22"/>
        </w:rPr>
        <w:t>a seguito della Fusione e della Scissione lo statuto di ACSM-AGAM subirà a</w:t>
      </w:r>
      <w:r w:rsidRPr="007F7839">
        <w:rPr>
          <w:rFonts w:ascii="Verdana" w:hAnsi="Verdana"/>
          <w:sz w:val="22"/>
          <w:szCs w:val="22"/>
        </w:rPr>
        <w:t>l</w:t>
      </w:r>
      <w:r w:rsidRPr="007F7839">
        <w:rPr>
          <w:rFonts w:ascii="Verdana" w:hAnsi="Verdana"/>
          <w:sz w:val="22"/>
          <w:szCs w:val="22"/>
        </w:rPr>
        <w:t>cune modifiche indicate più nel dettaglio nel progetto di Fusione e nel proge</w:t>
      </w:r>
      <w:r w:rsidRPr="007F7839">
        <w:rPr>
          <w:rFonts w:ascii="Verdana" w:hAnsi="Verdana"/>
          <w:sz w:val="22"/>
          <w:szCs w:val="22"/>
        </w:rPr>
        <w:t>t</w:t>
      </w:r>
      <w:r w:rsidRPr="007F7839">
        <w:rPr>
          <w:rFonts w:ascii="Verdana" w:hAnsi="Verdana"/>
          <w:sz w:val="22"/>
          <w:szCs w:val="22"/>
        </w:rPr>
        <w:t>to di Scissione;</w:t>
      </w:r>
    </w:p>
    <w:p w:rsidR="007F7839" w:rsidRPr="007F7839" w:rsidRDefault="007F7839" w:rsidP="0067665F">
      <w:pPr>
        <w:pStyle w:val="Paragrafoelenco"/>
        <w:numPr>
          <w:ilvl w:val="4"/>
          <w:numId w:val="19"/>
        </w:numPr>
        <w:tabs>
          <w:tab w:val="clear" w:pos="2438"/>
        </w:tabs>
        <w:ind w:left="993" w:hanging="426"/>
        <w:jc w:val="both"/>
        <w:rPr>
          <w:rFonts w:ascii="Verdana" w:hAnsi="Verdana"/>
          <w:sz w:val="22"/>
          <w:szCs w:val="22"/>
        </w:rPr>
      </w:pPr>
      <w:r w:rsidRPr="007F7839">
        <w:rPr>
          <w:rFonts w:ascii="Verdana" w:hAnsi="Verdana"/>
          <w:sz w:val="22"/>
          <w:szCs w:val="22"/>
        </w:rPr>
        <w:t>per effetto della Fusione e della Scissione, ACSM-AGAM realizzerà un aume</w:t>
      </w:r>
      <w:r w:rsidRPr="007F7839">
        <w:rPr>
          <w:rFonts w:ascii="Verdana" w:hAnsi="Verdana"/>
          <w:sz w:val="22"/>
          <w:szCs w:val="22"/>
        </w:rPr>
        <w:t>n</w:t>
      </w:r>
      <w:r w:rsidRPr="007F7839">
        <w:rPr>
          <w:rFonts w:ascii="Verdana" w:hAnsi="Verdana"/>
          <w:sz w:val="22"/>
          <w:szCs w:val="22"/>
        </w:rPr>
        <w:t xml:space="preserve">to del proprio capitale sociale di </w:t>
      </w:r>
      <w:r w:rsidR="00023A4A">
        <w:rPr>
          <w:rFonts w:ascii="Verdana" w:hAnsi="Verdana"/>
          <w:sz w:val="22"/>
          <w:szCs w:val="22"/>
        </w:rPr>
        <w:t>€</w:t>
      </w:r>
      <w:r w:rsidRPr="007F7839">
        <w:rPr>
          <w:rFonts w:ascii="Verdana" w:hAnsi="Verdana"/>
          <w:sz w:val="22"/>
          <w:szCs w:val="22"/>
        </w:rPr>
        <w:t xml:space="preserve"> 120.724.700,00, passando dagli at</w:t>
      </w:r>
      <w:r w:rsidR="00023A4A">
        <w:rPr>
          <w:rFonts w:ascii="Verdana" w:hAnsi="Verdana"/>
          <w:sz w:val="22"/>
          <w:szCs w:val="22"/>
        </w:rPr>
        <w:t>tuali e</w:t>
      </w:r>
      <w:r w:rsidR="00023A4A">
        <w:rPr>
          <w:rFonts w:ascii="Verdana" w:hAnsi="Verdana"/>
          <w:sz w:val="22"/>
          <w:szCs w:val="22"/>
        </w:rPr>
        <w:t>u</w:t>
      </w:r>
      <w:r w:rsidR="00023A4A">
        <w:rPr>
          <w:rFonts w:ascii="Verdana" w:hAnsi="Verdana"/>
          <w:sz w:val="22"/>
          <w:szCs w:val="22"/>
        </w:rPr>
        <w:t xml:space="preserve">ro </w:t>
      </w:r>
      <w:r w:rsidRPr="007F7839">
        <w:rPr>
          <w:rFonts w:ascii="Verdana" w:hAnsi="Verdana"/>
          <w:sz w:val="22"/>
          <w:szCs w:val="22"/>
        </w:rPr>
        <w:t xml:space="preserve">76.619.105,00 ad </w:t>
      </w:r>
      <w:r w:rsidR="00023A4A">
        <w:rPr>
          <w:rFonts w:ascii="Verdana" w:hAnsi="Verdana"/>
          <w:sz w:val="22"/>
          <w:szCs w:val="22"/>
        </w:rPr>
        <w:t>euro</w:t>
      </w:r>
      <w:r w:rsidRPr="007F7839">
        <w:rPr>
          <w:rFonts w:ascii="Verdana" w:hAnsi="Verdana"/>
          <w:sz w:val="22"/>
          <w:szCs w:val="22"/>
        </w:rPr>
        <w:t xml:space="preserve"> 197.343.805,00, con emissione di n. 120.724.700 nuove azioni di ACSM-AGAM da assegnarsi, rispettivamente, a</w:t>
      </w:r>
      <w:r>
        <w:rPr>
          <w:rFonts w:ascii="Verdana" w:hAnsi="Verdana"/>
          <w:sz w:val="22"/>
          <w:szCs w:val="22"/>
        </w:rPr>
        <w:t>i soci delle s</w:t>
      </w:r>
      <w:r w:rsidRPr="007F7839">
        <w:rPr>
          <w:rFonts w:ascii="Verdana" w:hAnsi="Verdana"/>
          <w:sz w:val="22"/>
          <w:szCs w:val="22"/>
        </w:rPr>
        <w:t>o</w:t>
      </w:r>
      <w:r w:rsidRPr="007F7839">
        <w:rPr>
          <w:rFonts w:ascii="Verdana" w:hAnsi="Verdana"/>
          <w:sz w:val="22"/>
          <w:szCs w:val="22"/>
        </w:rPr>
        <w:t xml:space="preserve">cietà </w:t>
      </w:r>
      <w:proofErr w:type="spellStart"/>
      <w:r w:rsidRPr="007F7839">
        <w:rPr>
          <w:rFonts w:ascii="Verdana" w:hAnsi="Verdana"/>
          <w:sz w:val="22"/>
          <w:szCs w:val="22"/>
        </w:rPr>
        <w:t>Incor</w:t>
      </w:r>
      <w:r>
        <w:rPr>
          <w:rFonts w:ascii="Verdana" w:hAnsi="Verdana"/>
          <w:sz w:val="22"/>
          <w:szCs w:val="22"/>
        </w:rPr>
        <w:t>porande</w:t>
      </w:r>
      <w:proofErr w:type="spellEnd"/>
      <w:r>
        <w:rPr>
          <w:rFonts w:ascii="Verdana" w:hAnsi="Verdana"/>
          <w:sz w:val="22"/>
          <w:szCs w:val="22"/>
        </w:rPr>
        <w:t xml:space="preserve"> e al socio unico della s</w:t>
      </w:r>
      <w:r w:rsidRPr="007F7839">
        <w:rPr>
          <w:rFonts w:ascii="Verdana" w:hAnsi="Verdana"/>
          <w:sz w:val="22"/>
          <w:szCs w:val="22"/>
        </w:rPr>
        <w:t xml:space="preserve">ocietà Scissa sulla base dei rapporti di cambio definiti; </w:t>
      </w:r>
    </w:p>
    <w:p w:rsidR="007F7839" w:rsidRPr="007F7839" w:rsidRDefault="007F7839" w:rsidP="0067665F">
      <w:pPr>
        <w:pStyle w:val="Paragrafoelenco"/>
        <w:numPr>
          <w:ilvl w:val="4"/>
          <w:numId w:val="19"/>
        </w:numPr>
        <w:tabs>
          <w:tab w:val="clear" w:pos="2438"/>
        </w:tabs>
        <w:ind w:left="993" w:hanging="426"/>
        <w:jc w:val="both"/>
        <w:rPr>
          <w:rFonts w:ascii="Verdana" w:hAnsi="Verdana"/>
          <w:sz w:val="22"/>
          <w:szCs w:val="22"/>
        </w:rPr>
      </w:pPr>
      <w:r w:rsidRPr="007F7839">
        <w:rPr>
          <w:rFonts w:ascii="Verdana" w:hAnsi="Verdana"/>
          <w:sz w:val="22"/>
          <w:szCs w:val="22"/>
        </w:rPr>
        <w:t>gli effetti giuridici della Fusione e delle Scissione decorreranno, ai sensi degli articoli 2504-</w:t>
      </w:r>
      <w:r w:rsidRPr="007F7839">
        <w:rPr>
          <w:rFonts w:ascii="Verdana" w:hAnsi="Verdana"/>
          <w:i/>
          <w:sz w:val="22"/>
          <w:szCs w:val="22"/>
        </w:rPr>
        <w:t>bis</w:t>
      </w:r>
      <w:r w:rsidRPr="007F7839">
        <w:rPr>
          <w:rFonts w:ascii="Verdana" w:hAnsi="Verdana"/>
          <w:sz w:val="22"/>
          <w:szCs w:val="22"/>
        </w:rPr>
        <w:t>, secondo comma, e 2506-</w:t>
      </w:r>
      <w:r w:rsidRPr="007F7839">
        <w:rPr>
          <w:rFonts w:ascii="Verdana" w:hAnsi="Verdana"/>
          <w:i/>
          <w:sz w:val="22"/>
          <w:szCs w:val="22"/>
        </w:rPr>
        <w:t>quater</w:t>
      </w:r>
      <w:r w:rsidRPr="007F7839">
        <w:rPr>
          <w:rFonts w:ascii="Verdana" w:hAnsi="Verdana"/>
          <w:sz w:val="22"/>
          <w:szCs w:val="22"/>
        </w:rPr>
        <w:t>, Codice Civile, dalla data in cui sarà eseguita presso il competente Registro delle Imprese l’ultima delle iscrizioni previste dagli articoli 2504, e 2506-</w:t>
      </w:r>
      <w:r w:rsidRPr="007F7839">
        <w:rPr>
          <w:rFonts w:ascii="Verdana" w:hAnsi="Verdana"/>
          <w:i/>
          <w:sz w:val="22"/>
          <w:szCs w:val="22"/>
        </w:rPr>
        <w:t>ter</w:t>
      </w:r>
      <w:r w:rsidRPr="007F7839">
        <w:rPr>
          <w:rFonts w:ascii="Verdana" w:hAnsi="Verdana"/>
          <w:sz w:val="22"/>
          <w:szCs w:val="22"/>
        </w:rPr>
        <w:t>, quinto comma Codice Civile, o dalla successiva data eventualmente indicata nell’atto di fusione e scissi</w:t>
      </w:r>
      <w:r w:rsidRPr="007F7839">
        <w:rPr>
          <w:rFonts w:ascii="Verdana" w:hAnsi="Verdana"/>
          <w:sz w:val="22"/>
          <w:szCs w:val="22"/>
        </w:rPr>
        <w:t>o</w:t>
      </w:r>
      <w:r w:rsidRPr="007F7839">
        <w:rPr>
          <w:rFonts w:ascii="Verdana" w:hAnsi="Verdana"/>
          <w:sz w:val="22"/>
          <w:szCs w:val="22"/>
        </w:rPr>
        <w:t xml:space="preserve">ne; </w:t>
      </w:r>
    </w:p>
    <w:p w:rsidR="007F7839" w:rsidRPr="007F7839" w:rsidRDefault="007F7839" w:rsidP="0067665F">
      <w:pPr>
        <w:pStyle w:val="Paragrafoelenco"/>
        <w:numPr>
          <w:ilvl w:val="4"/>
          <w:numId w:val="19"/>
        </w:numPr>
        <w:tabs>
          <w:tab w:val="clear" w:pos="2438"/>
        </w:tabs>
        <w:ind w:left="993" w:hanging="426"/>
        <w:jc w:val="both"/>
        <w:rPr>
          <w:rFonts w:ascii="Verdana" w:hAnsi="Verdana"/>
          <w:sz w:val="22"/>
          <w:szCs w:val="22"/>
        </w:rPr>
      </w:pPr>
      <w:r w:rsidRPr="007F7839">
        <w:rPr>
          <w:rFonts w:ascii="Verdana" w:hAnsi="Verdana"/>
          <w:sz w:val="22"/>
          <w:szCs w:val="22"/>
        </w:rPr>
        <w:t>ai fini contabili e fiscali e per gli effetti di cui all’articolo 2501-</w:t>
      </w:r>
      <w:r w:rsidRPr="007F7839">
        <w:rPr>
          <w:rFonts w:ascii="Verdana" w:hAnsi="Verdana"/>
          <w:i/>
          <w:sz w:val="22"/>
          <w:szCs w:val="22"/>
        </w:rPr>
        <w:t>ter</w:t>
      </w:r>
      <w:r w:rsidRPr="007F7839">
        <w:rPr>
          <w:rFonts w:ascii="Verdana" w:hAnsi="Verdana"/>
          <w:sz w:val="22"/>
          <w:szCs w:val="22"/>
        </w:rPr>
        <w:t xml:space="preserve">, primo comma, n. 6, Codice Civile, le operazioni delle Società </w:t>
      </w:r>
      <w:proofErr w:type="spellStart"/>
      <w:r w:rsidRPr="007F7839">
        <w:rPr>
          <w:rFonts w:ascii="Verdana" w:hAnsi="Verdana"/>
          <w:sz w:val="22"/>
          <w:szCs w:val="22"/>
        </w:rPr>
        <w:t>Incorporande</w:t>
      </w:r>
      <w:proofErr w:type="spellEnd"/>
      <w:r w:rsidRPr="007F7839">
        <w:rPr>
          <w:rFonts w:ascii="Verdana" w:hAnsi="Verdana"/>
          <w:sz w:val="22"/>
          <w:szCs w:val="22"/>
        </w:rPr>
        <w:t xml:space="preserve"> e della Società Scissa saranno imputate al bilancio di ACSM-AGAM, a decorrere dalla data di efficacia, rispettivamente, della fusione e della scissione;</w:t>
      </w:r>
    </w:p>
    <w:p w:rsidR="007F7839" w:rsidRPr="007F7839" w:rsidRDefault="007F7839" w:rsidP="0067665F">
      <w:pPr>
        <w:pStyle w:val="Paragrafoelenco"/>
        <w:numPr>
          <w:ilvl w:val="4"/>
          <w:numId w:val="19"/>
        </w:numPr>
        <w:tabs>
          <w:tab w:val="clear" w:pos="2438"/>
        </w:tabs>
        <w:ind w:left="993" w:hanging="426"/>
        <w:jc w:val="both"/>
        <w:rPr>
          <w:rFonts w:ascii="Verdana" w:hAnsi="Verdana"/>
          <w:sz w:val="22"/>
          <w:szCs w:val="22"/>
        </w:rPr>
      </w:pPr>
      <w:r w:rsidRPr="007F7839">
        <w:rPr>
          <w:rFonts w:ascii="Verdana" w:hAnsi="Verdana"/>
          <w:sz w:val="22"/>
          <w:szCs w:val="22"/>
        </w:rPr>
        <w:t>non esistono particolari categorie di soci in alcuna delle società partecipanti, e non sono previsti vantaggi particolari a favore degli amministratori delle società partecipanti all’operazione;</w:t>
      </w:r>
    </w:p>
    <w:p w:rsidR="007F7839" w:rsidRPr="007F7839" w:rsidRDefault="007F7839" w:rsidP="0067665F">
      <w:pPr>
        <w:pStyle w:val="Paragrafoelenco"/>
        <w:numPr>
          <w:ilvl w:val="4"/>
          <w:numId w:val="19"/>
        </w:numPr>
        <w:tabs>
          <w:tab w:val="clear" w:pos="2438"/>
        </w:tabs>
        <w:ind w:left="993" w:hanging="426"/>
        <w:jc w:val="both"/>
        <w:rPr>
          <w:rFonts w:ascii="Verdana" w:hAnsi="Verdana"/>
          <w:sz w:val="22"/>
          <w:szCs w:val="22"/>
        </w:rPr>
      </w:pPr>
      <w:r w:rsidRPr="007F7839">
        <w:rPr>
          <w:rFonts w:ascii="Verdana" w:hAnsi="Verdana"/>
          <w:sz w:val="22"/>
          <w:szCs w:val="22"/>
        </w:rPr>
        <w:t>per effetto della Fusione e della Scissione verrà operata una modifica signif</w:t>
      </w:r>
      <w:r w:rsidRPr="007F7839">
        <w:rPr>
          <w:rFonts w:ascii="Verdana" w:hAnsi="Verdana"/>
          <w:sz w:val="22"/>
          <w:szCs w:val="22"/>
        </w:rPr>
        <w:t>i</w:t>
      </w:r>
      <w:r w:rsidRPr="007F7839">
        <w:rPr>
          <w:rFonts w:ascii="Verdana" w:hAnsi="Verdana"/>
          <w:sz w:val="22"/>
          <w:szCs w:val="22"/>
        </w:rPr>
        <w:t xml:space="preserve">cativa dell’oggetto sociale di ACSM-AGAM, pertanto gli azionisti di ACSM-AGAM assenti o dissenzienti avranno la facoltà di esercitare il recesso ai sensi dell’articolo 2437, </w:t>
      </w:r>
      <w:proofErr w:type="spellStart"/>
      <w:r w:rsidRPr="007F7839">
        <w:rPr>
          <w:rFonts w:ascii="Verdana" w:hAnsi="Verdana"/>
          <w:sz w:val="22"/>
          <w:szCs w:val="22"/>
        </w:rPr>
        <w:t>lett</w:t>
      </w:r>
      <w:proofErr w:type="spellEnd"/>
      <w:r w:rsidRPr="007F7839">
        <w:rPr>
          <w:rFonts w:ascii="Verdana" w:hAnsi="Verdana"/>
          <w:sz w:val="22"/>
          <w:szCs w:val="22"/>
        </w:rPr>
        <w:t>. a), Codice Civile. Tale modifica dell’oggetto sociale di ACSM-AGAM comporta anche la facoltà di esercizio del recesso da parte dei soci assenti o dissenzienti di ASPEM e AEVV in quanto le attività sociali ult</w:t>
      </w:r>
      <w:r w:rsidRPr="007F7839">
        <w:rPr>
          <w:rFonts w:ascii="Verdana" w:hAnsi="Verdana"/>
          <w:sz w:val="22"/>
          <w:szCs w:val="22"/>
        </w:rPr>
        <w:t>e</w:t>
      </w:r>
      <w:r w:rsidRPr="007F7839">
        <w:rPr>
          <w:rFonts w:ascii="Verdana" w:hAnsi="Verdana"/>
          <w:sz w:val="22"/>
          <w:szCs w:val="22"/>
        </w:rPr>
        <w:t>riori non sono ad oggi previste nell’oggetto sociale di, rispettivamente, ASPEM e AEVV. Infine, è fatto salvo il diritto di recesso di cui all’articolo 2473, Codice Civile, per i soci assenti o dissenzienti di quelle società partec</w:t>
      </w:r>
      <w:r w:rsidRPr="007F7839">
        <w:rPr>
          <w:rFonts w:ascii="Verdana" w:hAnsi="Verdana"/>
          <w:sz w:val="22"/>
          <w:szCs w:val="22"/>
        </w:rPr>
        <w:t>i</w:t>
      </w:r>
      <w:r w:rsidRPr="007F7839">
        <w:rPr>
          <w:rFonts w:ascii="Verdana" w:hAnsi="Verdana"/>
          <w:sz w:val="22"/>
          <w:szCs w:val="22"/>
        </w:rPr>
        <w:t>panti che siano S.r.l.;</w:t>
      </w:r>
    </w:p>
    <w:p w:rsidR="007F7839" w:rsidRPr="007F7839" w:rsidRDefault="007F7839" w:rsidP="007F7839">
      <w:pPr>
        <w:pStyle w:val="Corpotesto"/>
        <w:contextualSpacing/>
        <w:jc w:val="both"/>
        <w:rPr>
          <w:rFonts w:ascii="Verdana" w:hAnsi="Verdana"/>
          <w:sz w:val="22"/>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I consigli di amministrazione di LRH (in data 22 gennaio 2018) e di A2A (in data 23 gennaio 2018), hanno approvato il contenuto dell’Accordo Quadro e dei relat</w:t>
      </w:r>
      <w:r w:rsidRPr="007F7839">
        <w:rPr>
          <w:rFonts w:ascii="Verdana" w:hAnsi="Verdana"/>
          <w:sz w:val="22"/>
          <w:szCs w:val="22"/>
        </w:rPr>
        <w:t>i</w:t>
      </w:r>
      <w:r w:rsidRPr="007F7839">
        <w:rPr>
          <w:rFonts w:ascii="Verdana" w:hAnsi="Verdana"/>
          <w:sz w:val="22"/>
          <w:szCs w:val="22"/>
        </w:rPr>
        <w:t>vi allegati autorizzando la sottoscrizione dello stesso;</w:t>
      </w:r>
    </w:p>
    <w:p w:rsidR="007F7839" w:rsidRPr="007F7839" w:rsidRDefault="007F7839" w:rsidP="007F7839">
      <w:pPr>
        <w:pStyle w:val="Paragrafoelenco"/>
        <w:ind w:left="567"/>
        <w:jc w:val="both"/>
        <w:rPr>
          <w:rFonts w:ascii="Verdana" w:hAnsi="Verdana"/>
          <w:sz w:val="22"/>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I consigli di amministrazione di ACSM-AGAM, ASPEM e AEVV, in data 23 gennaio 2018, hanno approvato:</w:t>
      </w:r>
    </w:p>
    <w:p w:rsidR="007F7839" w:rsidRPr="007F7839" w:rsidRDefault="007F7839" w:rsidP="0067665F">
      <w:pPr>
        <w:pStyle w:val="Corpotesto"/>
        <w:numPr>
          <w:ilvl w:val="4"/>
          <w:numId w:val="23"/>
        </w:numPr>
        <w:tabs>
          <w:tab w:val="clear" w:pos="709"/>
          <w:tab w:val="clear" w:pos="2438"/>
        </w:tabs>
        <w:ind w:left="993" w:hanging="426"/>
        <w:contextualSpacing/>
        <w:jc w:val="both"/>
        <w:rPr>
          <w:rFonts w:ascii="Verdana" w:hAnsi="Verdana"/>
          <w:sz w:val="22"/>
          <w:szCs w:val="22"/>
        </w:rPr>
      </w:pPr>
      <w:r w:rsidRPr="007F7839">
        <w:rPr>
          <w:rFonts w:ascii="Verdana" w:hAnsi="Verdana"/>
          <w:sz w:val="22"/>
          <w:szCs w:val="22"/>
        </w:rPr>
        <w:t>il contenuto dell’Accordo Quadro ed i relativi allegati;</w:t>
      </w:r>
    </w:p>
    <w:p w:rsidR="007F7839" w:rsidRPr="007F7839" w:rsidRDefault="007F7839" w:rsidP="0067665F">
      <w:pPr>
        <w:pStyle w:val="Corpotesto"/>
        <w:numPr>
          <w:ilvl w:val="4"/>
          <w:numId w:val="23"/>
        </w:numPr>
        <w:tabs>
          <w:tab w:val="clear" w:pos="709"/>
          <w:tab w:val="clear" w:pos="2438"/>
        </w:tabs>
        <w:ind w:left="993" w:hanging="426"/>
        <w:contextualSpacing/>
        <w:jc w:val="both"/>
        <w:rPr>
          <w:rFonts w:ascii="Verdana" w:hAnsi="Verdana"/>
          <w:sz w:val="22"/>
          <w:szCs w:val="22"/>
        </w:rPr>
      </w:pPr>
      <w:r w:rsidRPr="007F7839">
        <w:rPr>
          <w:rFonts w:ascii="Verdana" w:hAnsi="Verdana"/>
          <w:sz w:val="22"/>
          <w:szCs w:val="22"/>
        </w:rPr>
        <w:t>il progetto di Fusione ed i relativi allegati;</w:t>
      </w:r>
    </w:p>
    <w:p w:rsidR="007F7839" w:rsidRPr="007F7839" w:rsidRDefault="007F7839" w:rsidP="007F7839">
      <w:pPr>
        <w:pStyle w:val="Paragrafoelenco"/>
        <w:ind w:left="1560"/>
        <w:jc w:val="both"/>
        <w:rPr>
          <w:rFonts w:ascii="Verdana" w:hAnsi="Verdana"/>
          <w:sz w:val="22"/>
          <w:szCs w:val="22"/>
        </w:rPr>
      </w:pPr>
    </w:p>
    <w:p w:rsid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I consigli di amministrazione di Lario Reti Gas S.r.l. e di ACEL Service S.r.l. (in data 22 gennaio 2018), di A2A Idro4 S.r.l. e di AEVV Energie S.r.l. (in data 23 gennaio 2018), hanno approvato il progetto di Fusione ed i relativi allegati;</w:t>
      </w:r>
    </w:p>
    <w:p w:rsidR="00996244" w:rsidRPr="007F7839" w:rsidRDefault="00996244" w:rsidP="007F7839">
      <w:pPr>
        <w:pStyle w:val="Paragrafoelenco"/>
        <w:numPr>
          <w:ilvl w:val="0"/>
          <w:numId w:val="21"/>
        </w:numPr>
        <w:ind w:left="567" w:hanging="567"/>
        <w:jc w:val="both"/>
        <w:rPr>
          <w:rFonts w:ascii="Verdana" w:hAnsi="Verdana"/>
          <w:sz w:val="22"/>
          <w:szCs w:val="22"/>
        </w:rPr>
      </w:pPr>
    </w:p>
    <w:p w:rsidR="007F7839" w:rsidRPr="007F7839" w:rsidRDefault="007F7839" w:rsidP="007F7839">
      <w:pPr>
        <w:contextualSpacing/>
        <w:rPr>
          <w:rFonts w:ascii="Verdana" w:hAnsi="Verdana"/>
          <w:sz w:val="22"/>
          <w:szCs w:val="22"/>
        </w:rPr>
      </w:pPr>
    </w:p>
    <w:p w:rsidR="007F7839" w:rsidRP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In aggiunta, sempre in data 23 gennaio 2018, i consigli di amministrazione di ACSM-AGAM e della Società Scissa hanno approvato il progetto di Scissione ed i relativi allegati;</w:t>
      </w:r>
    </w:p>
    <w:p w:rsidR="007F7839" w:rsidRPr="007F7839" w:rsidRDefault="007F7839" w:rsidP="007F7839">
      <w:pPr>
        <w:contextualSpacing/>
        <w:rPr>
          <w:rFonts w:ascii="Verdana" w:hAnsi="Verdana"/>
          <w:sz w:val="22"/>
          <w:szCs w:val="22"/>
        </w:rPr>
      </w:pPr>
    </w:p>
    <w:p w:rsid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In pari data, ACSM-AGAM, A2A, ASPEM, AEVV e LRH hanno sottoscritto l’Accordo Quadro, comprensivo dei relativi allegati;</w:t>
      </w:r>
    </w:p>
    <w:p w:rsidR="00996244" w:rsidRPr="00996244" w:rsidRDefault="00996244" w:rsidP="00996244">
      <w:pPr>
        <w:pStyle w:val="Paragrafoelenco"/>
        <w:rPr>
          <w:rFonts w:ascii="Verdana" w:hAnsi="Verdana"/>
          <w:sz w:val="22"/>
          <w:szCs w:val="22"/>
        </w:rPr>
      </w:pPr>
    </w:p>
    <w:p w:rsidR="00996244" w:rsidRPr="00996244" w:rsidRDefault="00996244" w:rsidP="00996244">
      <w:pPr>
        <w:pStyle w:val="Paragrafoelenco"/>
        <w:numPr>
          <w:ilvl w:val="0"/>
          <w:numId w:val="21"/>
        </w:numPr>
        <w:ind w:left="567" w:hanging="567"/>
        <w:jc w:val="both"/>
        <w:rPr>
          <w:rFonts w:ascii="Verdana" w:hAnsi="Verdana"/>
          <w:sz w:val="22"/>
          <w:szCs w:val="22"/>
        </w:rPr>
      </w:pPr>
      <w:r w:rsidRPr="00996244">
        <w:rPr>
          <w:rFonts w:ascii="Verdana" w:hAnsi="Verdana"/>
          <w:sz w:val="22"/>
          <w:szCs w:val="22"/>
        </w:rPr>
        <w:t>In data 15 febbraio 2018, ACSM-AGAM, A2A, ASPEM, AEVV e LRH hanno sott</w:t>
      </w:r>
      <w:r w:rsidRPr="00996244">
        <w:rPr>
          <w:rFonts w:ascii="Verdana" w:hAnsi="Verdana"/>
          <w:sz w:val="22"/>
          <w:szCs w:val="22"/>
        </w:rPr>
        <w:t>o</w:t>
      </w:r>
      <w:r w:rsidRPr="00996244">
        <w:rPr>
          <w:rFonts w:ascii="Verdana" w:hAnsi="Verdana"/>
          <w:sz w:val="22"/>
          <w:szCs w:val="22"/>
        </w:rPr>
        <w:t>scritto un accordo modificativo dell’Accordo Quadro al solo fine di recepire alcune minime modifiche di carattere tecnico tra cui, in particolare: (i) alcune precis</w:t>
      </w:r>
      <w:r w:rsidRPr="00996244">
        <w:rPr>
          <w:rFonts w:ascii="Verdana" w:hAnsi="Verdana"/>
          <w:sz w:val="22"/>
          <w:szCs w:val="22"/>
        </w:rPr>
        <w:t>a</w:t>
      </w:r>
      <w:r w:rsidRPr="00996244">
        <w:rPr>
          <w:rFonts w:ascii="Verdana" w:hAnsi="Verdana"/>
          <w:sz w:val="22"/>
          <w:szCs w:val="22"/>
        </w:rPr>
        <w:t>zioni nelle definizioni di “Comunicazioni alle Rappresentanze Sindacali per la Sci</w:t>
      </w:r>
      <w:r w:rsidRPr="00996244">
        <w:rPr>
          <w:rFonts w:ascii="Verdana" w:hAnsi="Verdana"/>
          <w:sz w:val="22"/>
          <w:szCs w:val="22"/>
        </w:rPr>
        <w:t>s</w:t>
      </w:r>
      <w:r w:rsidRPr="00996244">
        <w:rPr>
          <w:rFonts w:ascii="Verdana" w:hAnsi="Verdana"/>
          <w:sz w:val="22"/>
          <w:szCs w:val="22"/>
        </w:rPr>
        <w:t>sione”, “Esperto Indipendente” e “Valutazione dei Conferimenti”; (ii) le nuove d</w:t>
      </w:r>
      <w:r w:rsidRPr="00996244">
        <w:rPr>
          <w:rFonts w:ascii="Verdana" w:hAnsi="Verdana"/>
          <w:sz w:val="22"/>
          <w:szCs w:val="22"/>
        </w:rPr>
        <w:t>a</w:t>
      </w:r>
      <w:r w:rsidRPr="00996244">
        <w:rPr>
          <w:rFonts w:ascii="Verdana" w:hAnsi="Verdana"/>
          <w:sz w:val="22"/>
          <w:szCs w:val="22"/>
        </w:rPr>
        <w:t>te condivise per le assemblee straordinarie di Fusione, per le assemblee straord</w:t>
      </w:r>
      <w:r w:rsidRPr="00996244">
        <w:rPr>
          <w:rFonts w:ascii="Verdana" w:hAnsi="Verdana"/>
          <w:sz w:val="22"/>
          <w:szCs w:val="22"/>
        </w:rPr>
        <w:t>i</w:t>
      </w:r>
      <w:r w:rsidRPr="00996244">
        <w:rPr>
          <w:rFonts w:ascii="Verdana" w:hAnsi="Verdana"/>
          <w:sz w:val="22"/>
          <w:szCs w:val="22"/>
        </w:rPr>
        <w:t>narie di Scissione, il termine di avveramento per alcune delle condizioni sospe</w:t>
      </w:r>
      <w:r w:rsidRPr="00996244">
        <w:rPr>
          <w:rFonts w:ascii="Verdana" w:hAnsi="Verdana"/>
          <w:sz w:val="22"/>
          <w:szCs w:val="22"/>
        </w:rPr>
        <w:t>n</w:t>
      </w:r>
      <w:r w:rsidRPr="00996244">
        <w:rPr>
          <w:rFonts w:ascii="Verdana" w:hAnsi="Verdana"/>
          <w:sz w:val="22"/>
          <w:szCs w:val="22"/>
        </w:rPr>
        <w:t>sive (inclusa la data di rilascio del parere del perito nominato dal Tribunale di Monza sul rapporto di cambio della Fusione e della Scissione); (iii) l'indicazione all'Allegato 10 dell’Accordo Quadro che il Comune di Sondrio detiene una partec</w:t>
      </w:r>
      <w:r w:rsidRPr="00996244">
        <w:rPr>
          <w:rFonts w:ascii="Verdana" w:hAnsi="Verdana"/>
          <w:sz w:val="22"/>
          <w:szCs w:val="22"/>
        </w:rPr>
        <w:t>i</w:t>
      </w:r>
      <w:r w:rsidRPr="00996244">
        <w:rPr>
          <w:rFonts w:ascii="Verdana" w:hAnsi="Verdana"/>
          <w:sz w:val="22"/>
          <w:szCs w:val="22"/>
        </w:rPr>
        <w:t>pazione in A.E.V.V. S.p.A. tramite la società S.EC.AM. S.p.A. pari a n. 132 azioni; (iv) l'inserimento della possibilità per le società partecipanti alla Fusione e alla Scissione di effettuare ulteriori attività rispetto a quelle ad oggi previste solo in quanto tecnicamente necessarie per finalizzare l'aggregazione.</w:t>
      </w:r>
    </w:p>
    <w:p w:rsidR="007F7839" w:rsidRPr="007F7839" w:rsidRDefault="007F7839" w:rsidP="007F7839">
      <w:pPr>
        <w:pStyle w:val="Corpotesto"/>
        <w:contextualSpacing/>
        <w:jc w:val="both"/>
        <w:rPr>
          <w:rFonts w:ascii="Verdana" w:hAnsi="Verdana"/>
          <w:sz w:val="22"/>
          <w:szCs w:val="22"/>
        </w:rPr>
      </w:pPr>
    </w:p>
    <w:p w:rsidR="00023A4A"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Ai sensi dell’Accordo Quadro, il perfezionamento del Progetto di Aggregazione è subordinato, oltre che all’approvazione da parte delle rispettive assemblee delle società partecipanti alla Fusione e alla Scissione, all’avveramento di alcune co</w:t>
      </w:r>
      <w:r w:rsidRPr="007F7839">
        <w:rPr>
          <w:rFonts w:ascii="Verdana" w:hAnsi="Verdana"/>
          <w:sz w:val="22"/>
          <w:szCs w:val="22"/>
        </w:rPr>
        <w:t>n</w:t>
      </w:r>
      <w:r w:rsidRPr="007F7839">
        <w:rPr>
          <w:rFonts w:ascii="Verdana" w:hAnsi="Verdana"/>
          <w:sz w:val="22"/>
          <w:szCs w:val="22"/>
        </w:rPr>
        <w:t>dizioni sospensive, tra cui</w:t>
      </w:r>
      <w:r w:rsidR="00023A4A">
        <w:rPr>
          <w:rFonts w:ascii="Verdana" w:hAnsi="Verdana"/>
          <w:sz w:val="22"/>
          <w:szCs w:val="22"/>
        </w:rPr>
        <w:t>:</w:t>
      </w:r>
    </w:p>
    <w:p w:rsidR="00023A4A" w:rsidRPr="0067665F" w:rsidRDefault="007F7839" w:rsidP="0067665F">
      <w:pPr>
        <w:pStyle w:val="Paragrafoelenco"/>
        <w:numPr>
          <w:ilvl w:val="1"/>
          <w:numId w:val="39"/>
        </w:numPr>
        <w:ind w:left="993" w:hanging="426"/>
        <w:jc w:val="both"/>
        <w:rPr>
          <w:rFonts w:ascii="Verdana" w:hAnsi="Verdana"/>
          <w:sz w:val="22"/>
          <w:szCs w:val="22"/>
        </w:rPr>
      </w:pPr>
      <w:r w:rsidRPr="0067665F">
        <w:rPr>
          <w:rFonts w:ascii="Verdana" w:hAnsi="Verdana"/>
          <w:sz w:val="22"/>
          <w:szCs w:val="22"/>
        </w:rPr>
        <w:t>l’approvazione finale e vincolante da parte del Comune di Como, del Comune di Monza, del Comune di Sondrio e del Comune di Varese del contenuto dell’Accordo Quadro e dei relativi Allegati, ivi inclusi, in particolare, il progetto di Fusione ed il progetto di Scissione;</w:t>
      </w:r>
    </w:p>
    <w:p w:rsidR="007F7839" w:rsidRPr="0067665F" w:rsidRDefault="007F7839" w:rsidP="0067665F">
      <w:pPr>
        <w:pStyle w:val="Paragrafoelenco"/>
        <w:numPr>
          <w:ilvl w:val="1"/>
          <w:numId w:val="39"/>
        </w:numPr>
        <w:ind w:left="993" w:hanging="426"/>
        <w:jc w:val="both"/>
        <w:rPr>
          <w:rFonts w:ascii="Verdana" w:hAnsi="Verdana"/>
          <w:sz w:val="22"/>
          <w:szCs w:val="22"/>
        </w:rPr>
      </w:pPr>
      <w:r w:rsidRPr="0067665F">
        <w:rPr>
          <w:rFonts w:ascii="Verdana" w:hAnsi="Verdana"/>
          <w:sz w:val="22"/>
          <w:szCs w:val="22"/>
        </w:rPr>
        <w:t>la piena adesione da parte del Comune di Como, del Comune di Monza, del Comune di Sondrio e del Comune di Varese all’Accordo Quadro (già sott</w:t>
      </w:r>
      <w:r w:rsidRPr="0067665F">
        <w:rPr>
          <w:rFonts w:ascii="Verdana" w:hAnsi="Verdana"/>
          <w:sz w:val="22"/>
          <w:szCs w:val="22"/>
        </w:rPr>
        <w:t>o</w:t>
      </w:r>
      <w:r w:rsidRPr="0067665F">
        <w:rPr>
          <w:rFonts w:ascii="Verdana" w:hAnsi="Verdana"/>
          <w:sz w:val="22"/>
          <w:szCs w:val="22"/>
        </w:rPr>
        <w:t>scritto da A2A, LRH, ACSM-AGAM, ASPEM e AEVV) mediante la sottoscrizione di apposita dichiarazione irrevocabile di accettazione incondizionata di tutte le previsioni (nessuna esclusa) dello stesso e delle attività ed operazioni ivi pr</w:t>
      </w:r>
      <w:r w:rsidRPr="0067665F">
        <w:rPr>
          <w:rFonts w:ascii="Verdana" w:hAnsi="Verdana"/>
          <w:sz w:val="22"/>
          <w:szCs w:val="22"/>
        </w:rPr>
        <w:t>e</w:t>
      </w:r>
      <w:r w:rsidRPr="0067665F">
        <w:rPr>
          <w:rFonts w:ascii="Verdana" w:hAnsi="Verdana"/>
          <w:sz w:val="22"/>
          <w:szCs w:val="22"/>
        </w:rPr>
        <w:t>viste o comunque contemplate;</w:t>
      </w:r>
    </w:p>
    <w:p w:rsidR="007F7839" w:rsidRPr="007F7839" w:rsidRDefault="007F7839" w:rsidP="007F7839">
      <w:pPr>
        <w:contextualSpacing/>
        <w:jc w:val="both"/>
        <w:rPr>
          <w:rFonts w:ascii="Verdana" w:hAnsi="Verdana"/>
          <w:sz w:val="22"/>
          <w:szCs w:val="22"/>
        </w:rPr>
      </w:pPr>
    </w:p>
    <w:p w:rsidR="007F7839" w:rsidRDefault="007F7839" w:rsidP="007F7839">
      <w:pPr>
        <w:pStyle w:val="Paragrafoelenco"/>
        <w:numPr>
          <w:ilvl w:val="0"/>
          <w:numId w:val="21"/>
        </w:numPr>
        <w:ind w:left="567" w:hanging="567"/>
        <w:jc w:val="both"/>
        <w:rPr>
          <w:rFonts w:ascii="Verdana" w:hAnsi="Verdana"/>
          <w:sz w:val="22"/>
          <w:szCs w:val="22"/>
        </w:rPr>
      </w:pPr>
      <w:r w:rsidRPr="007F7839">
        <w:rPr>
          <w:rFonts w:ascii="Verdana" w:hAnsi="Verdana"/>
          <w:sz w:val="22"/>
          <w:szCs w:val="22"/>
        </w:rPr>
        <w:t>L’Accordo Quadro prevede, tra l’altro, che prima delle assemblee straordinarie chiamate ad approvare il progetto di Fusione e il progetto di Scissione, A2A, LRH, il Comune di Como, il Comune di Monza, il Comune di Sondrio e il Comune di V</w:t>
      </w:r>
      <w:r w:rsidRPr="007F7839">
        <w:rPr>
          <w:rFonts w:ascii="Verdana" w:hAnsi="Verdana"/>
          <w:sz w:val="22"/>
          <w:szCs w:val="22"/>
        </w:rPr>
        <w:t>a</w:t>
      </w:r>
      <w:r w:rsidRPr="007F7839">
        <w:rPr>
          <w:rFonts w:ascii="Verdana" w:hAnsi="Verdana"/>
          <w:sz w:val="22"/>
          <w:szCs w:val="22"/>
        </w:rPr>
        <w:t>rese (i “</w:t>
      </w:r>
      <w:r w:rsidRPr="007F7839">
        <w:rPr>
          <w:rFonts w:ascii="Verdana" w:hAnsi="Verdana"/>
          <w:b/>
          <w:sz w:val="22"/>
          <w:szCs w:val="22"/>
        </w:rPr>
        <w:t>Soci Pattisti</w:t>
      </w:r>
      <w:r w:rsidRPr="007F7839">
        <w:rPr>
          <w:rFonts w:ascii="Verdana" w:hAnsi="Verdana"/>
          <w:sz w:val="22"/>
          <w:szCs w:val="22"/>
        </w:rPr>
        <w:t>”) sottoscriveranno il Patto Parasociale nella forma già s</w:t>
      </w:r>
      <w:r w:rsidRPr="007F7839">
        <w:rPr>
          <w:rFonts w:ascii="Verdana" w:hAnsi="Verdana"/>
          <w:sz w:val="22"/>
          <w:szCs w:val="22"/>
        </w:rPr>
        <w:t>o</w:t>
      </w:r>
      <w:r w:rsidRPr="007F7839">
        <w:rPr>
          <w:rFonts w:ascii="Verdana" w:hAnsi="Verdana"/>
          <w:sz w:val="22"/>
          <w:szCs w:val="22"/>
        </w:rPr>
        <w:t>stanzialmente concordata dalle parti e allegata all’Accordo Quadro avente ad o</w:t>
      </w:r>
      <w:r w:rsidRPr="007F7839">
        <w:rPr>
          <w:rFonts w:ascii="Verdana" w:hAnsi="Verdana"/>
          <w:sz w:val="22"/>
          <w:szCs w:val="22"/>
        </w:rPr>
        <w:t>g</w:t>
      </w:r>
      <w:r w:rsidRPr="007F7839">
        <w:rPr>
          <w:rFonts w:ascii="Verdana" w:hAnsi="Verdana"/>
          <w:sz w:val="22"/>
          <w:szCs w:val="22"/>
        </w:rPr>
        <w:t>getto le azioni di ACSM-AGAM post Progetto di Aggrega</w:t>
      </w:r>
      <w:r w:rsidR="00D57892">
        <w:rPr>
          <w:rFonts w:ascii="Verdana" w:hAnsi="Verdana"/>
          <w:sz w:val="22"/>
          <w:szCs w:val="22"/>
        </w:rPr>
        <w:t>zione.</w:t>
      </w:r>
    </w:p>
    <w:p w:rsidR="00D57892" w:rsidRDefault="00D57892" w:rsidP="00D57892">
      <w:pPr>
        <w:jc w:val="both"/>
        <w:rPr>
          <w:rFonts w:ascii="Verdana" w:hAnsi="Verdana"/>
          <w:sz w:val="22"/>
          <w:szCs w:val="22"/>
        </w:rPr>
      </w:pPr>
    </w:p>
    <w:p w:rsidR="00D57892" w:rsidRPr="009F35FE" w:rsidRDefault="00D57892" w:rsidP="00D57892">
      <w:pPr>
        <w:contextualSpacing/>
        <w:jc w:val="both"/>
        <w:rPr>
          <w:rFonts w:ascii="Verdana" w:hAnsi="Verdana"/>
          <w:sz w:val="22"/>
          <w:szCs w:val="22"/>
        </w:rPr>
      </w:pPr>
      <w:r w:rsidRPr="009F35FE">
        <w:rPr>
          <w:rFonts w:ascii="Verdana" w:hAnsi="Verdana"/>
          <w:sz w:val="22"/>
          <w:szCs w:val="22"/>
        </w:rPr>
        <w:t>Il Progetto di Aggregazione risulta idoneo a perseguire i seguenti obiettivi:</w:t>
      </w:r>
    </w:p>
    <w:p w:rsidR="00D57892" w:rsidRPr="009F35FE" w:rsidRDefault="00D57892" w:rsidP="0067665F">
      <w:pPr>
        <w:pStyle w:val="Corpotesto"/>
        <w:numPr>
          <w:ilvl w:val="4"/>
          <w:numId w:val="29"/>
        </w:numPr>
        <w:tabs>
          <w:tab w:val="clear" w:pos="709"/>
          <w:tab w:val="clear" w:pos="2438"/>
        </w:tabs>
        <w:ind w:left="993" w:hanging="425"/>
        <w:contextualSpacing/>
        <w:jc w:val="both"/>
        <w:rPr>
          <w:rFonts w:ascii="Verdana" w:hAnsi="Verdana"/>
          <w:sz w:val="22"/>
          <w:szCs w:val="22"/>
        </w:rPr>
      </w:pPr>
      <w:r w:rsidRPr="009F35FE">
        <w:rPr>
          <w:rFonts w:ascii="Verdana" w:hAnsi="Verdana"/>
          <w:sz w:val="22"/>
          <w:szCs w:val="22"/>
        </w:rPr>
        <w:t>con riferimento al segmento della distribuzione gas e dell’energia elettrica: l’ottimizzazione, l’efficientamento e lo sviluppo del servizio erogato nelle aree servite;</w:t>
      </w:r>
    </w:p>
    <w:p w:rsidR="00D57892" w:rsidRPr="009F35FE" w:rsidRDefault="00D57892" w:rsidP="0067665F">
      <w:pPr>
        <w:pStyle w:val="Corpotesto"/>
        <w:numPr>
          <w:ilvl w:val="4"/>
          <w:numId w:val="22"/>
        </w:numPr>
        <w:tabs>
          <w:tab w:val="clear" w:pos="709"/>
          <w:tab w:val="clear" w:pos="2438"/>
        </w:tabs>
        <w:ind w:left="993" w:hanging="425"/>
        <w:contextualSpacing/>
        <w:jc w:val="both"/>
        <w:rPr>
          <w:rFonts w:ascii="Verdana" w:hAnsi="Verdana"/>
          <w:sz w:val="22"/>
          <w:szCs w:val="22"/>
        </w:rPr>
      </w:pPr>
      <w:r w:rsidRPr="009F35FE">
        <w:rPr>
          <w:rFonts w:ascii="Verdana" w:hAnsi="Verdana"/>
          <w:sz w:val="22"/>
          <w:szCs w:val="22"/>
        </w:rPr>
        <w:t>con riguardo al segmento della vendita del gas e dell’energia elettrica: il mantenimento e lo sviluppo dei presidi territoriali, la valorizzazione dei brand esistenti, la valorizzazione e lo sviluppo della base clienti attuale, l’integrazione e la razionalizzazione degli approvvigionamenti;</w:t>
      </w:r>
    </w:p>
    <w:p w:rsidR="0004081A" w:rsidRDefault="00D57892" w:rsidP="0067665F">
      <w:pPr>
        <w:pStyle w:val="Corpotesto"/>
        <w:numPr>
          <w:ilvl w:val="4"/>
          <w:numId w:val="22"/>
        </w:numPr>
        <w:tabs>
          <w:tab w:val="clear" w:pos="709"/>
          <w:tab w:val="clear" w:pos="2438"/>
        </w:tabs>
        <w:ind w:left="993" w:hanging="425"/>
        <w:contextualSpacing/>
        <w:jc w:val="both"/>
        <w:rPr>
          <w:rFonts w:ascii="Verdana" w:hAnsi="Verdana"/>
          <w:sz w:val="22"/>
          <w:szCs w:val="22"/>
        </w:rPr>
      </w:pPr>
      <w:r w:rsidRPr="0004081A">
        <w:rPr>
          <w:rFonts w:ascii="Verdana" w:hAnsi="Verdana"/>
          <w:sz w:val="22"/>
          <w:szCs w:val="22"/>
        </w:rPr>
        <w:t>per il segmento «</w:t>
      </w:r>
      <w:proofErr w:type="spellStart"/>
      <w:r w:rsidRPr="0004081A">
        <w:rPr>
          <w:rFonts w:ascii="Verdana" w:hAnsi="Verdana"/>
          <w:i/>
          <w:sz w:val="22"/>
          <w:szCs w:val="22"/>
        </w:rPr>
        <w:t>smart</w:t>
      </w:r>
      <w:proofErr w:type="spellEnd"/>
      <w:r w:rsidRPr="0004081A">
        <w:rPr>
          <w:rFonts w:ascii="Verdana" w:hAnsi="Verdana"/>
          <w:i/>
          <w:sz w:val="22"/>
          <w:szCs w:val="22"/>
        </w:rPr>
        <w:t xml:space="preserve"> city</w:t>
      </w:r>
      <w:r w:rsidRPr="0004081A">
        <w:rPr>
          <w:rFonts w:ascii="Verdana" w:hAnsi="Verdana"/>
          <w:sz w:val="22"/>
          <w:szCs w:val="22"/>
        </w:rPr>
        <w:t xml:space="preserve">» e servizi innovativi: investimenti nel settore ICT agevolando lo sviluppo del modello </w:t>
      </w:r>
      <w:proofErr w:type="spellStart"/>
      <w:r w:rsidRPr="0004081A">
        <w:rPr>
          <w:rFonts w:ascii="Verdana" w:hAnsi="Verdana"/>
          <w:i/>
          <w:sz w:val="22"/>
          <w:szCs w:val="22"/>
        </w:rPr>
        <w:t>smart</w:t>
      </w:r>
      <w:proofErr w:type="spellEnd"/>
      <w:r w:rsidRPr="0004081A">
        <w:rPr>
          <w:rFonts w:ascii="Verdana" w:hAnsi="Verdana"/>
          <w:i/>
          <w:sz w:val="22"/>
          <w:szCs w:val="22"/>
        </w:rPr>
        <w:t xml:space="preserve"> city</w:t>
      </w:r>
      <w:r w:rsidRPr="0004081A">
        <w:rPr>
          <w:rFonts w:ascii="Verdana" w:hAnsi="Verdana"/>
          <w:sz w:val="22"/>
          <w:szCs w:val="22"/>
        </w:rPr>
        <w:t xml:space="preserve"> tramite incremento del bus</w:t>
      </w:r>
      <w:r w:rsidRPr="0004081A">
        <w:rPr>
          <w:rFonts w:ascii="Verdana" w:hAnsi="Verdana"/>
          <w:sz w:val="22"/>
          <w:szCs w:val="22"/>
        </w:rPr>
        <w:t>i</w:t>
      </w:r>
      <w:r w:rsidRPr="0004081A">
        <w:rPr>
          <w:rFonts w:ascii="Verdana" w:hAnsi="Verdana"/>
          <w:sz w:val="22"/>
          <w:szCs w:val="22"/>
        </w:rPr>
        <w:t>ness dell’illuminazione pubblica e di soluzioni per il settore pubblico, avvio di progetti innovativi (ad es. e-</w:t>
      </w:r>
      <w:proofErr w:type="spellStart"/>
      <w:r w:rsidRPr="0004081A">
        <w:rPr>
          <w:rFonts w:ascii="Verdana" w:hAnsi="Verdana"/>
          <w:sz w:val="22"/>
          <w:szCs w:val="22"/>
        </w:rPr>
        <w:t>mobility</w:t>
      </w:r>
      <w:proofErr w:type="spellEnd"/>
      <w:r w:rsidR="0004081A">
        <w:rPr>
          <w:rStyle w:val="Rimandonotaapidipagina"/>
          <w:rFonts w:ascii="Verdana" w:hAnsi="Verdana"/>
          <w:sz w:val="22"/>
          <w:szCs w:val="22"/>
        </w:rPr>
        <w:footnoteReference w:id="2"/>
      </w:r>
      <w:r w:rsidRPr="0004081A">
        <w:rPr>
          <w:rFonts w:ascii="Verdana" w:hAnsi="Verdana"/>
          <w:sz w:val="22"/>
          <w:szCs w:val="22"/>
        </w:rPr>
        <w:t>) con particolare riferimento alle tecn</w:t>
      </w:r>
      <w:r w:rsidRPr="0004081A">
        <w:rPr>
          <w:rFonts w:ascii="Verdana" w:hAnsi="Verdana"/>
          <w:sz w:val="22"/>
          <w:szCs w:val="22"/>
        </w:rPr>
        <w:t>o</w:t>
      </w:r>
      <w:r w:rsidRPr="0004081A">
        <w:rPr>
          <w:rFonts w:ascii="Verdana" w:hAnsi="Verdana"/>
          <w:sz w:val="22"/>
          <w:szCs w:val="22"/>
        </w:rPr>
        <w:t>logie «</w:t>
      </w:r>
      <w:r w:rsidRPr="0004081A">
        <w:rPr>
          <w:rFonts w:ascii="Verdana" w:hAnsi="Verdana"/>
          <w:i/>
          <w:sz w:val="22"/>
          <w:szCs w:val="22"/>
        </w:rPr>
        <w:t>green</w:t>
      </w:r>
      <w:r w:rsidRPr="0004081A">
        <w:rPr>
          <w:rFonts w:ascii="Verdana" w:hAnsi="Verdana"/>
          <w:sz w:val="22"/>
          <w:szCs w:val="22"/>
        </w:rPr>
        <w:t>»;</w:t>
      </w:r>
    </w:p>
    <w:p w:rsidR="00D57892" w:rsidRPr="0004081A" w:rsidRDefault="00D57892" w:rsidP="0067665F">
      <w:pPr>
        <w:pStyle w:val="Corpotesto"/>
        <w:numPr>
          <w:ilvl w:val="4"/>
          <w:numId w:val="22"/>
        </w:numPr>
        <w:tabs>
          <w:tab w:val="clear" w:pos="709"/>
          <w:tab w:val="clear" w:pos="2438"/>
        </w:tabs>
        <w:ind w:left="993" w:hanging="425"/>
        <w:contextualSpacing/>
        <w:jc w:val="both"/>
        <w:rPr>
          <w:rFonts w:ascii="Verdana" w:hAnsi="Verdana"/>
          <w:sz w:val="22"/>
          <w:szCs w:val="22"/>
        </w:rPr>
      </w:pPr>
      <w:r w:rsidRPr="0004081A">
        <w:rPr>
          <w:rFonts w:ascii="Verdana" w:hAnsi="Verdana"/>
          <w:sz w:val="22"/>
          <w:szCs w:val="22"/>
        </w:rPr>
        <w:t>in relazione al segmento dell’efficienza energetica TLR e gestioni calore: lo sviluppo di offerte come ESCO</w:t>
      </w:r>
      <w:r w:rsidR="0004081A">
        <w:rPr>
          <w:rStyle w:val="Rimandonotaapidipagina"/>
          <w:rFonts w:ascii="Verdana" w:hAnsi="Verdana"/>
          <w:sz w:val="22"/>
          <w:szCs w:val="22"/>
        </w:rPr>
        <w:footnoteReference w:id="3"/>
      </w:r>
      <w:r w:rsidRPr="0004081A">
        <w:rPr>
          <w:rFonts w:ascii="Verdana" w:hAnsi="Verdana"/>
          <w:sz w:val="22"/>
          <w:szCs w:val="22"/>
        </w:rPr>
        <w:t xml:space="preserve">, dei servizi di efficienza energetica e della </w:t>
      </w:r>
      <w:proofErr w:type="spellStart"/>
      <w:r w:rsidRPr="0004081A">
        <w:rPr>
          <w:rFonts w:ascii="Verdana" w:hAnsi="Verdana"/>
          <w:sz w:val="22"/>
          <w:szCs w:val="22"/>
        </w:rPr>
        <w:t>m</w:t>
      </w:r>
      <w:r w:rsidRPr="0004081A">
        <w:rPr>
          <w:rFonts w:ascii="Verdana" w:hAnsi="Verdana"/>
          <w:sz w:val="22"/>
          <w:szCs w:val="22"/>
        </w:rPr>
        <w:t>i</w:t>
      </w:r>
      <w:r w:rsidRPr="0004081A">
        <w:rPr>
          <w:rFonts w:ascii="Verdana" w:hAnsi="Verdana"/>
          <w:sz w:val="22"/>
          <w:szCs w:val="22"/>
        </w:rPr>
        <w:t>crogenerazione</w:t>
      </w:r>
      <w:proofErr w:type="spellEnd"/>
      <w:r w:rsidRPr="0004081A">
        <w:rPr>
          <w:rFonts w:ascii="Verdana" w:hAnsi="Verdana"/>
          <w:sz w:val="22"/>
          <w:szCs w:val="22"/>
        </w:rPr>
        <w:t>;</w:t>
      </w:r>
    </w:p>
    <w:p w:rsidR="00D57892" w:rsidRPr="009F35FE" w:rsidRDefault="00D57892" w:rsidP="0067665F">
      <w:pPr>
        <w:pStyle w:val="Corpotesto"/>
        <w:numPr>
          <w:ilvl w:val="4"/>
          <w:numId w:val="22"/>
        </w:numPr>
        <w:tabs>
          <w:tab w:val="clear" w:pos="709"/>
          <w:tab w:val="clear" w:pos="2438"/>
        </w:tabs>
        <w:ind w:left="993" w:hanging="425"/>
        <w:contextualSpacing/>
        <w:jc w:val="both"/>
        <w:rPr>
          <w:rFonts w:ascii="Verdana" w:hAnsi="Verdana"/>
          <w:sz w:val="22"/>
          <w:szCs w:val="22"/>
        </w:rPr>
      </w:pPr>
      <w:r w:rsidRPr="009F35FE">
        <w:rPr>
          <w:rFonts w:ascii="Verdana" w:hAnsi="Verdana"/>
          <w:sz w:val="22"/>
          <w:szCs w:val="22"/>
        </w:rPr>
        <w:t>per il settore dell’ambiente: il consolidamento e lo sviluppo delle attività di raccolta anche per valorizzare l’assetto impiantistico esistente ed i nuovi i</w:t>
      </w:r>
      <w:r w:rsidRPr="009F35FE">
        <w:rPr>
          <w:rFonts w:ascii="Verdana" w:hAnsi="Verdana"/>
          <w:sz w:val="22"/>
          <w:szCs w:val="22"/>
        </w:rPr>
        <w:t>m</w:t>
      </w:r>
      <w:r w:rsidRPr="009F35FE">
        <w:rPr>
          <w:rFonts w:ascii="Verdana" w:hAnsi="Verdana"/>
          <w:sz w:val="22"/>
          <w:szCs w:val="22"/>
        </w:rPr>
        <w:t>pianti.</w:t>
      </w:r>
    </w:p>
    <w:p w:rsidR="00D57892" w:rsidRPr="009F35FE" w:rsidRDefault="00D57892" w:rsidP="00D57892">
      <w:pPr>
        <w:pStyle w:val="Corpotesto"/>
        <w:ind w:left="567"/>
        <w:contextualSpacing/>
        <w:jc w:val="both"/>
        <w:rPr>
          <w:rFonts w:ascii="Verdana" w:hAnsi="Verdana"/>
          <w:sz w:val="22"/>
          <w:szCs w:val="22"/>
        </w:rPr>
      </w:pPr>
    </w:p>
    <w:p w:rsidR="00D57892" w:rsidRPr="009F35FE" w:rsidRDefault="00D57892" w:rsidP="00FE48A4">
      <w:pPr>
        <w:contextualSpacing/>
        <w:jc w:val="both"/>
        <w:rPr>
          <w:rFonts w:ascii="Verdana" w:hAnsi="Verdana"/>
          <w:sz w:val="22"/>
          <w:szCs w:val="22"/>
        </w:rPr>
      </w:pPr>
      <w:r w:rsidRPr="009F35FE">
        <w:rPr>
          <w:rFonts w:ascii="Verdana" w:hAnsi="Verdana"/>
          <w:sz w:val="22"/>
          <w:szCs w:val="22"/>
        </w:rPr>
        <w:t>L’aggregazione societaria consente di delineare un disegno imprenditoriale di ampio respiro destinato a produrre valore nel tempo per gli azionisti delle società e per i te</w:t>
      </w:r>
      <w:r w:rsidRPr="009F35FE">
        <w:rPr>
          <w:rFonts w:ascii="Verdana" w:hAnsi="Verdana"/>
          <w:sz w:val="22"/>
          <w:szCs w:val="22"/>
        </w:rPr>
        <w:t>r</w:t>
      </w:r>
      <w:r w:rsidRPr="009F35FE">
        <w:rPr>
          <w:rFonts w:ascii="Verdana" w:hAnsi="Verdana"/>
          <w:sz w:val="22"/>
          <w:szCs w:val="22"/>
        </w:rPr>
        <w:t>ritori di riferimento creando le condizioni per migliorare i servizi pubblici e di pubblica utilità in genere, nonché le attività collaterali relative al soddisfacimento di bisogni e alle esigenze della collettività e per valorizzare il presidio territoriale e la tutela occ</w:t>
      </w:r>
      <w:r w:rsidRPr="009F35FE">
        <w:rPr>
          <w:rFonts w:ascii="Verdana" w:hAnsi="Verdana"/>
          <w:sz w:val="22"/>
          <w:szCs w:val="22"/>
        </w:rPr>
        <w:t>u</w:t>
      </w:r>
      <w:r w:rsidRPr="009F35FE">
        <w:rPr>
          <w:rFonts w:ascii="Verdana" w:hAnsi="Verdana"/>
          <w:sz w:val="22"/>
          <w:szCs w:val="22"/>
        </w:rPr>
        <w:t>pazionale</w:t>
      </w:r>
      <w:r w:rsidR="00FE48A4">
        <w:rPr>
          <w:rFonts w:ascii="Verdana" w:hAnsi="Verdana"/>
          <w:sz w:val="22"/>
          <w:szCs w:val="22"/>
        </w:rPr>
        <w:t xml:space="preserve"> in coerenza e nel rispetto delle </w:t>
      </w:r>
      <w:r w:rsidR="00FE48A4" w:rsidRPr="00FE48A4">
        <w:rPr>
          <w:rFonts w:ascii="Verdana" w:hAnsi="Verdana"/>
          <w:sz w:val="22"/>
          <w:szCs w:val="22"/>
        </w:rPr>
        <w:t xml:space="preserve">norme dei trattati europei e, in particolare, </w:t>
      </w:r>
      <w:r w:rsidR="00FE48A4">
        <w:rPr>
          <w:rFonts w:ascii="Verdana" w:hAnsi="Verdana"/>
          <w:sz w:val="22"/>
          <w:szCs w:val="22"/>
        </w:rPr>
        <w:t xml:space="preserve">della </w:t>
      </w:r>
      <w:r w:rsidR="00FE48A4" w:rsidRPr="00FE48A4">
        <w:rPr>
          <w:rFonts w:ascii="Verdana" w:hAnsi="Verdana"/>
          <w:sz w:val="22"/>
          <w:szCs w:val="22"/>
        </w:rPr>
        <w:t>disciplina europea in materia di aiuti di Stato</w:t>
      </w:r>
      <w:r w:rsidR="007E4984">
        <w:rPr>
          <w:rFonts w:ascii="Verdana" w:hAnsi="Verdana"/>
          <w:sz w:val="22"/>
          <w:szCs w:val="22"/>
        </w:rPr>
        <w:t xml:space="preserve"> </w:t>
      </w:r>
      <w:r w:rsidR="00FE48A4" w:rsidRPr="00FE48A4">
        <w:rPr>
          <w:rFonts w:ascii="Verdana" w:hAnsi="Verdana"/>
          <w:sz w:val="22"/>
          <w:szCs w:val="22"/>
        </w:rPr>
        <w:t>alle imprese</w:t>
      </w:r>
      <w:r w:rsidRPr="009F35FE">
        <w:rPr>
          <w:rFonts w:ascii="Verdana" w:hAnsi="Verdana"/>
          <w:sz w:val="22"/>
          <w:szCs w:val="22"/>
        </w:rPr>
        <w:t>.</w:t>
      </w:r>
    </w:p>
    <w:p w:rsidR="00D57892" w:rsidRPr="009F35FE" w:rsidRDefault="00D57892" w:rsidP="00D57892">
      <w:pPr>
        <w:contextualSpacing/>
        <w:jc w:val="both"/>
        <w:rPr>
          <w:rFonts w:ascii="Verdana" w:hAnsi="Verdana"/>
          <w:sz w:val="22"/>
          <w:szCs w:val="22"/>
        </w:rPr>
      </w:pPr>
    </w:p>
    <w:p w:rsidR="00D57892" w:rsidRPr="009F35FE" w:rsidRDefault="00D57892" w:rsidP="00D57892">
      <w:pPr>
        <w:contextualSpacing/>
        <w:jc w:val="both"/>
        <w:rPr>
          <w:rFonts w:ascii="Verdana" w:hAnsi="Verdana"/>
          <w:sz w:val="22"/>
          <w:szCs w:val="22"/>
        </w:rPr>
      </w:pPr>
      <w:r w:rsidRPr="009F35FE">
        <w:rPr>
          <w:rFonts w:ascii="Verdana" w:hAnsi="Verdana"/>
          <w:sz w:val="22"/>
          <w:szCs w:val="22"/>
        </w:rPr>
        <w:t>L’aggregazione favorisce lo sviluppo di sinergie con potenzialità di miglioramento della quantità e della varietà dei servizi offerti, con efficienze specifiche, tangibili e traslabili sul consumatore</w:t>
      </w:r>
      <w:r>
        <w:rPr>
          <w:rFonts w:ascii="Verdana" w:hAnsi="Verdana"/>
          <w:sz w:val="22"/>
        </w:rPr>
        <w:t>.</w:t>
      </w:r>
    </w:p>
    <w:p w:rsidR="00D57892" w:rsidRDefault="00D57892" w:rsidP="00D57892">
      <w:pPr>
        <w:contextualSpacing/>
        <w:jc w:val="both"/>
        <w:rPr>
          <w:rFonts w:ascii="Verdana" w:hAnsi="Verdana"/>
          <w:sz w:val="22"/>
        </w:rPr>
      </w:pPr>
    </w:p>
    <w:p w:rsidR="00D57892" w:rsidRPr="009F35FE" w:rsidRDefault="00D57892" w:rsidP="00D57892">
      <w:pPr>
        <w:contextualSpacing/>
        <w:jc w:val="both"/>
        <w:rPr>
          <w:rFonts w:ascii="Verdana" w:hAnsi="Verdana"/>
          <w:sz w:val="22"/>
          <w:szCs w:val="22"/>
        </w:rPr>
      </w:pPr>
      <w:r>
        <w:rPr>
          <w:rFonts w:ascii="Verdana" w:hAnsi="Verdana"/>
          <w:sz w:val="22"/>
        </w:rPr>
        <w:t>L</w:t>
      </w:r>
      <w:r w:rsidRPr="009F35FE">
        <w:rPr>
          <w:rFonts w:ascii="Verdana" w:hAnsi="Verdana"/>
          <w:sz w:val="22"/>
          <w:szCs w:val="22"/>
        </w:rPr>
        <w:t>’aggregazione genererebbe valore aggiunto grazie alla unicità derivante dalle caratt</w:t>
      </w:r>
      <w:r w:rsidRPr="009F35FE">
        <w:rPr>
          <w:rFonts w:ascii="Verdana" w:hAnsi="Verdana"/>
          <w:sz w:val="22"/>
          <w:szCs w:val="22"/>
        </w:rPr>
        <w:t>e</w:t>
      </w:r>
      <w:r w:rsidRPr="009F35FE">
        <w:rPr>
          <w:rFonts w:ascii="Verdana" w:hAnsi="Verdana"/>
          <w:sz w:val="22"/>
          <w:szCs w:val="22"/>
        </w:rPr>
        <w:t>ristiche territoriali dei soggetti coinvolti con una ridefinizione dell’oggetto sociale a</w:t>
      </w:r>
      <w:r w:rsidRPr="009F35FE">
        <w:rPr>
          <w:rFonts w:ascii="Verdana" w:hAnsi="Verdana"/>
          <w:sz w:val="22"/>
          <w:szCs w:val="22"/>
        </w:rPr>
        <w:t>m</w:t>
      </w:r>
      <w:r w:rsidRPr="009F35FE">
        <w:rPr>
          <w:rFonts w:ascii="Verdana" w:hAnsi="Verdana"/>
          <w:sz w:val="22"/>
          <w:szCs w:val="22"/>
        </w:rPr>
        <w:t>pliato e ricalibrato sulle attività che l’eventuale nuovo soggetto sarà chiamato a svo</w:t>
      </w:r>
      <w:r w:rsidRPr="009F35FE">
        <w:rPr>
          <w:rFonts w:ascii="Verdana" w:hAnsi="Verdana"/>
          <w:sz w:val="22"/>
          <w:szCs w:val="22"/>
        </w:rPr>
        <w:t>l</w:t>
      </w:r>
      <w:r w:rsidRPr="009F35FE">
        <w:rPr>
          <w:rFonts w:ascii="Verdana" w:hAnsi="Verdana"/>
          <w:sz w:val="22"/>
          <w:szCs w:val="22"/>
        </w:rPr>
        <w:t>gere, consentendo di meglio affrontare la concorrenza.</w:t>
      </w:r>
    </w:p>
    <w:p w:rsidR="00D57892" w:rsidRPr="009F35FE" w:rsidRDefault="00D57892" w:rsidP="00D57892">
      <w:pPr>
        <w:contextualSpacing/>
        <w:jc w:val="both"/>
        <w:rPr>
          <w:rFonts w:ascii="Verdana" w:hAnsi="Verdana"/>
          <w:sz w:val="22"/>
          <w:szCs w:val="22"/>
        </w:rPr>
      </w:pPr>
    </w:p>
    <w:p w:rsidR="00D57892" w:rsidRPr="009F35FE" w:rsidRDefault="00D57892" w:rsidP="00D57892">
      <w:pPr>
        <w:contextualSpacing/>
        <w:jc w:val="both"/>
        <w:rPr>
          <w:rFonts w:ascii="Verdana" w:hAnsi="Verdana"/>
          <w:sz w:val="22"/>
          <w:szCs w:val="22"/>
        </w:rPr>
      </w:pPr>
      <w:r w:rsidRPr="009F35FE">
        <w:rPr>
          <w:rFonts w:ascii="Verdana" w:hAnsi="Verdana"/>
          <w:sz w:val="22"/>
          <w:szCs w:val="22"/>
        </w:rPr>
        <w:t>L’aggregazione è perfettamente coerente con la politica aggregativa sviluppata in It</w:t>
      </w:r>
      <w:r w:rsidRPr="009F35FE">
        <w:rPr>
          <w:rFonts w:ascii="Verdana" w:hAnsi="Verdana"/>
          <w:sz w:val="22"/>
          <w:szCs w:val="22"/>
        </w:rPr>
        <w:t>a</w:t>
      </w:r>
      <w:r w:rsidRPr="009F35FE">
        <w:rPr>
          <w:rFonts w:ascii="Verdana" w:hAnsi="Verdana"/>
          <w:sz w:val="22"/>
          <w:szCs w:val="22"/>
        </w:rPr>
        <w:t xml:space="preserve">lia, finalizzata a creare </w:t>
      </w:r>
      <w:proofErr w:type="spellStart"/>
      <w:r w:rsidRPr="009F35FE">
        <w:rPr>
          <w:rFonts w:ascii="Verdana" w:hAnsi="Verdana"/>
          <w:i/>
          <w:sz w:val="22"/>
          <w:szCs w:val="22"/>
        </w:rPr>
        <w:t>multiutility</w:t>
      </w:r>
      <w:proofErr w:type="spellEnd"/>
      <w:r w:rsidRPr="009F35FE">
        <w:rPr>
          <w:rFonts w:ascii="Verdana" w:hAnsi="Verdana"/>
          <w:sz w:val="22"/>
          <w:szCs w:val="22"/>
        </w:rPr>
        <w:t xml:space="preserve"> di dimensioni tali da garantire una gestione efficie</w:t>
      </w:r>
      <w:r w:rsidRPr="009F35FE">
        <w:rPr>
          <w:rFonts w:ascii="Verdana" w:hAnsi="Verdana"/>
          <w:sz w:val="22"/>
          <w:szCs w:val="22"/>
        </w:rPr>
        <w:t>n</w:t>
      </w:r>
      <w:r w:rsidRPr="009F35FE">
        <w:rPr>
          <w:rFonts w:ascii="Verdana" w:hAnsi="Verdana"/>
          <w:sz w:val="22"/>
          <w:szCs w:val="22"/>
        </w:rPr>
        <w:t>te dei servizi pubblici attraverso la messa in condivisione delle potenzialità che i vari soggetti possono esprimere se si aggregano e superano la logica delle divisioni o se</w:t>
      </w:r>
      <w:r w:rsidRPr="009F35FE">
        <w:rPr>
          <w:rFonts w:ascii="Verdana" w:hAnsi="Verdana"/>
          <w:sz w:val="22"/>
          <w:szCs w:val="22"/>
        </w:rPr>
        <w:t>t</w:t>
      </w:r>
      <w:r w:rsidRPr="009F35FE">
        <w:rPr>
          <w:rFonts w:ascii="Verdana" w:hAnsi="Verdana"/>
          <w:sz w:val="22"/>
          <w:szCs w:val="22"/>
        </w:rPr>
        <w:t>torialità.</w:t>
      </w:r>
    </w:p>
    <w:p w:rsidR="00D57892" w:rsidRDefault="00D57892" w:rsidP="00D57892">
      <w:pPr>
        <w:jc w:val="both"/>
        <w:rPr>
          <w:rFonts w:ascii="Verdana" w:hAnsi="Verdana"/>
          <w:sz w:val="22"/>
          <w:szCs w:val="22"/>
        </w:rPr>
      </w:pPr>
    </w:p>
    <w:p w:rsidR="00906A57" w:rsidRPr="00376188" w:rsidRDefault="00906A57" w:rsidP="00906A57">
      <w:pPr>
        <w:pStyle w:val="Corpotesto"/>
        <w:contextualSpacing/>
        <w:jc w:val="both"/>
        <w:rPr>
          <w:rFonts w:ascii="Verdana" w:hAnsi="Verdana"/>
          <w:sz w:val="22"/>
          <w:szCs w:val="22"/>
        </w:rPr>
      </w:pPr>
      <w:r w:rsidRPr="00376188">
        <w:rPr>
          <w:rFonts w:ascii="Verdana" w:hAnsi="Verdana"/>
          <w:sz w:val="22"/>
          <w:szCs w:val="22"/>
        </w:rPr>
        <w:t>La documentazione costituente il Progetto di Aggregazione risulta essere la seguente:</w:t>
      </w:r>
    </w:p>
    <w:p w:rsidR="00906A57" w:rsidRPr="00376188" w:rsidRDefault="00906A57" w:rsidP="0067665F">
      <w:pPr>
        <w:pStyle w:val="Corpotesto"/>
        <w:numPr>
          <w:ilvl w:val="0"/>
          <w:numId w:val="30"/>
        </w:numPr>
        <w:tabs>
          <w:tab w:val="clear" w:pos="709"/>
        </w:tabs>
        <w:ind w:left="426" w:hanging="295"/>
        <w:contextualSpacing/>
        <w:jc w:val="both"/>
        <w:rPr>
          <w:rFonts w:ascii="Verdana" w:hAnsi="Verdana"/>
          <w:sz w:val="22"/>
          <w:szCs w:val="22"/>
        </w:rPr>
      </w:pPr>
      <w:r w:rsidRPr="00376188">
        <w:rPr>
          <w:rFonts w:ascii="Verdana" w:hAnsi="Verdana"/>
          <w:sz w:val="22"/>
          <w:szCs w:val="22"/>
        </w:rPr>
        <w:t>Relazione Illustrativa del Consiglio di Amministrazione di A.E.V.V. S.p.A. approvata in data 23/01/2018;</w:t>
      </w:r>
    </w:p>
    <w:p w:rsidR="00906A57" w:rsidRPr="00376188" w:rsidRDefault="00906A57" w:rsidP="0067665F">
      <w:pPr>
        <w:pStyle w:val="Corpotesto"/>
        <w:numPr>
          <w:ilvl w:val="0"/>
          <w:numId w:val="30"/>
        </w:numPr>
        <w:tabs>
          <w:tab w:val="clear" w:pos="709"/>
        </w:tabs>
        <w:ind w:left="426" w:hanging="295"/>
        <w:contextualSpacing/>
        <w:jc w:val="both"/>
        <w:rPr>
          <w:rFonts w:ascii="Verdana" w:hAnsi="Verdana"/>
          <w:sz w:val="22"/>
          <w:szCs w:val="22"/>
        </w:rPr>
      </w:pPr>
      <w:r w:rsidRPr="00376188">
        <w:rPr>
          <w:rFonts w:ascii="Verdana" w:hAnsi="Verdana"/>
          <w:sz w:val="22"/>
          <w:szCs w:val="22"/>
        </w:rPr>
        <w:t>Progetto Comune di Fusione per Incorporazione approvato dal CdA di A.E.V.V. S.p.A. in data 23/01/2018 con allegato “nuovo statuto di ACSM-AGAM S.p.A.”;</w:t>
      </w:r>
    </w:p>
    <w:p w:rsidR="00906A57" w:rsidRDefault="00906A57" w:rsidP="0064200E">
      <w:pPr>
        <w:pStyle w:val="Corpotesto"/>
        <w:numPr>
          <w:ilvl w:val="0"/>
          <w:numId w:val="30"/>
        </w:numPr>
        <w:tabs>
          <w:tab w:val="clear" w:pos="709"/>
        </w:tabs>
        <w:spacing w:after="120"/>
        <w:ind w:left="425" w:hanging="295"/>
        <w:contextualSpacing/>
        <w:jc w:val="both"/>
        <w:rPr>
          <w:rFonts w:ascii="Verdana" w:hAnsi="Verdana"/>
          <w:sz w:val="22"/>
          <w:szCs w:val="22"/>
        </w:rPr>
      </w:pPr>
      <w:r w:rsidRPr="00376188">
        <w:rPr>
          <w:rFonts w:ascii="Verdana" w:hAnsi="Verdana"/>
          <w:sz w:val="22"/>
          <w:szCs w:val="22"/>
        </w:rPr>
        <w:t>Accordo Quadro tra A2A, ACSM-AGAM, ASPEM, AEVV, LRH e con successiva ad</w:t>
      </w:r>
      <w:r w:rsidRPr="00376188">
        <w:rPr>
          <w:rFonts w:ascii="Verdana" w:hAnsi="Verdana"/>
          <w:sz w:val="22"/>
          <w:szCs w:val="22"/>
        </w:rPr>
        <w:t>e</w:t>
      </w:r>
      <w:r w:rsidRPr="00376188">
        <w:rPr>
          <w:rFonts w:ascii="Verdana" w:hAnsi="Verdana"/>
          <w:sz w:val="22"/>
          <w:szCs w:val="22"/>
        </w:rPr>
        <w:t>sione dei Comuni di</w:t>
      </w:r>
      <w:r w:rsidR="0064200E">
        <w:rPr>
          <w:rFonts w:ascii="Verdana" w:hAnsi="Verdana"/>
          <w:sz w:val="22"/>
          <w:szCs w:val="22"/>
        </w:rPr>
        <w:t xml:space="preserve"> Como, Monza, Sondrio e Varese.</w:t>
      </w:r>
    </w:p>
    <w:p w:rsidR="0064200E" w:rsidRPr="00376188" w:rsidRDefault="0064200E" w:rsidP="0064200E">
      <w:pPr>
        <w:pStyle w:val="Corpotesto"/>
        <w:tabs>
          <w:tab w:val="clear" w:pos="709"/>
        </w:tabs>
        <w:spacing w:after="120"/>
        <w:ind w:left="425"/>
        <w:contextualSpacing/>
        <w:jc w:val="both"/>
        <w:rPr>
          <w:rFonts w:ascii="Verdana" w:hAnsi="Verdana"/>
          <w:sz w:val="22"/>
          <w:szCs w:val="22"/>
        </w:rPr>
      </w:pPr>
    </w:p>
    <w:p w:rsidR="00906A57" w:rsidRPr="00376188" w:rsidRDefault="00906A57" w:rsidP="00906A57">
      <w:pPr>
        <w:pStyle w:val="Corpotesto"/>
        <w:contextualSpacing/>
        <w:jc w:val="both"/>
        <w:rPr>
          <w:rFonts w:ascii="Verdana" w:hAnsi="Verdana"/>
          <w:sz w:val="22"/>
          <w:szCs w:val="22"/>
        </w:rPr>
      </w:pPr>
      <w:r w:rsidRPr="00376188">
        <w:rPr>
          <w:rFonts w:ascii="Verdana" w:hAnsi="Verdana"/>
          <w:sz w:val="22"/>
          <w:szCs w:val="22"/>
        </w:rPr>
        <w:t xml:space="preserve">All’interno </w:t>
      </w:r>
      <w:r w:rsidR="0064200E">
        <w:rPr>
          <w:rFonts w:ascii="Verdana" w:hAnsi="Verdana"/>
          <w:sz w:val="22"/>
          <w:szCs w:val="22"/>
        </w:rPr>
        <w:t xml:space="preserve">dell’Accordo Quadro e dell’Accordo Modificativo dell’Accordo Quadro </w:t>
      </w:r>
      <w:r w:rsidRPr="00376188">
        <w:rPr>
          <w:rFonts w:ascii="Verdana" w:hAnsi="Verdana"/>
          <w:sz w:val="22"/>
          <w:szCs w:val="22"/>
        </w:rPr>
        <w:t>sono contenuti dati e informazioni inerenti ACSM-AGAM S.p.A. entità aggregante le cui azioni sono quotate presso il Mercato Telematico Azionario organizzato e gestito da Borsa Italiana e la cui pubblicazione o divulgazione può generare un pregiudizio co</w:t>
      </w:r>
      <w:r w:rsidRPr="00376188">
        <w:rPr>
          <w:rFonts w:ascii="Verdana" w:hAnsi="Verdana"/>
          <w:sz w:val="22"/>
          <w:szCs w:val="22"/>
        </w:rPr>
        <w:t>n</w:t>
      </w:r>
      <w:r w:rsidRPr="00376188">
        <w:rPr>
          <w:rFonts w:ascii="Verdana" w:hAnsi="Verdana"/>
          <w:sz w:val="22"/>
          <w:szCs w:val="22"/>
        </w:rPr>
        <w:t xml:space="preserve">creto e diretto alla riservatezza di ACSM-AGAM S.p.A. </w:t>
      </w:r>
      <w:r w:rsidR="001520DB" w:rsidRPr="00376188">
        <w:rPr>
          <w:rFonts w:ascii="Verdana" w:hAnsi="Verdana"/>
          <w:sz w:val="22"/>
          <w:szCs w:val="22"/>
        </w:rPr>
        <w:t>nonch</w:t>
      </w:r>
      <w:r w:rsidR="001520DB">
        <w:rPr>
          <w:rFonts w:ascii="Verdana" w:hAnsi="Verdana"/>
          <w:sz w:val="22"/>
          <w:szCs w:val="22"/>
        </w:rPr>
        <w:t>é</w:t>
      </w:r>
      <w:r w:rsidR="001520DB" w:rsidRPr="00376188">
        <w:rPr>
          <w:rFonts w:ascii="Verdana" w:hAnsi="Verdana"/>
          <w:sz w:val="22"/>
          <w:szCs w:val="22"/>
        </w:rPr>
        <w:t xml:space="preserve"> </w:t>
      </w:r>
      <w:r w:rsidRPr="00376188">
        <w:rPr>
          <w:rFonts w:ascii="Verdana" w:hAnsi="Verdana"/>
          <w:sz w:val="22"/>
          <w:szCs w:val="22"/>
        </w:rPr>
        <w:t>portare potenzialmente ad un’alterazione dello stesso Mercato Telematico Azionario.</w:t>
      </w:r>
    </w:p>
    <w:p w:rsidR="00906A57" w:rsidRPr="00376188" w:rsidRDefault="00906A57" w:rsidP="00906A57">
      <w:pPr>
        <w:pStyle w:val="Corpotesto"/>
        <w:contextualSpacing/>
        <w:jc w:val="both"/>
        <w:rPr>
          <w:rFonts w:ascii="Verdana" w:hAnsi="Verdana"/>
          <w:sz w:val="22"/>
          <w:szCs w:val="22"/>
        </w:rPr>
      </w:pPr>
    </w:p>
    <w:p w:rsidR="00906A57" w:rsidRPr="00376188" w:rsidRDefault="00906A57" w:rsidP="00906A57">
      <w:pPr>
        <w:pStyle w:val="Corpotesto"/>
        <w:contextualSpacing/>
        <w:jc w:val="both"/>
        <w:rPr>
          <w:rFonts w:ascii="Verdana" w:hAnsi="Verdana"/>
          <w:sz w:val="22"/>
          <w:szCs w:val="22"/>
        </w:rPr>
      </w:pPr>
      <w:r w:rsidRPr="00376188">
        <w:rPr>
          <w:rFonts w:ascii="Verdana" w:hAnsi="Verdana"/>
          <w:sz w:val="22"/>
          <w:szCs w:val="22"/>
        </w:rPr>
        <w:t>Di conseguenza, per ragioni di riservatezza,</w:t>
      </w:r>
      <w:r w:rsidRPr="00376188">
        <w:rPr>
          <w:rFonts w:ascii="Verdana" w:hAnsi="Verdana"/>
          <w:b/>
          <w:sz w:val="22"/>
          <w:szCs w:val="22"/>
        </w:rPr>
        <w:t xml:space="preserve"> </w:t>
      </w:r>
      <w:r w:rsidRPr="00376188">
        <w:rPr>
          <w:rFonts w:ascii="Verdana" w:hAnsi="Verdana"/>
          <w:sz w:val="22"/>
          <w:szCs w:val="22"/>
        </w:rPr>
        <w:t>si ritiene</w:t>
      </w:r>
      <w:r w:rsidRPr="00376188">
        <w:rPr>
          <w:rFonts w:ascii="Verdana" w:hAnsi="Verdana"/>
          <w:b/>
          <w:sz w:val="22"/>
          <w:szCs w:val="22"/>
        </w:rPr>
        <w:t xml:space="preserve"> </w:t>
      </w:r>
      <w:r w:rsidRPr="00376188">
        <w:rPr>
          <w:rFonts w:ascii="Verdana" w:hAnsi="Verdana"/>
          <w:sz w:val="22"/>
          <w:szCs w:val="22"/>
        </w:rPr>
        <w:t>di sottrare alla pubblicazione:</w:t>
      </w:r>
    </w:p>
    <w:p w:rsidR="00906A57" w:rsidRPr="00376188" w:rsidRDefault="00906A57" w:rsidP="0067665F">
      <w:pPr>
        <w:pStyle w:val="Corpotesto"/>
        <w:numPr>
          <w:ilvl w:val="0"/>
          <w:numId w:val="26"/>
        </w:numPr>
        <w:tabs>
          <w:tab w:val="clear" w:pos="709"/>
        </w:tabs>
        <w:ind w:left="426" w:hanging="284"/>
        <w:contextualSpacing/>
        <w:jc w:val="both"/>
        <w:rPr>
          <w:rFonts w:ascii="Verdana" w:hAnsi="Verdana"/>
          <w:sz w:val="22"/>
          <w:szCs w:val="22"/>
        </w:rPr>
      </w:pPr>
      <w:r w:rsidRPr="00376188">
        <w:rPr>
          <w:rFonts w:ascii="Verdana" w:hAnsi="Verdana"/>
          <w:sz w:val="22"/>
          <w:szCs w:val="22"/>
        </w:rPr>
        <w:t>la totalità del documento denominato “Allegato I(iii): Piano Strategico per il Piano Industriale”;</w:t>
      </w:r>
    </w:p>
    <w:p w:rsidR="00906A57" w:rsidRPr="00376188" w:rsidRDefault="00906A57" w:rsidP="0067665F">
      <w:pPr>
        <w:pStyle w:val="Corpotesto"/>
        <w:numPr>
          <w:ilvl w:val="0"/>
          <w:numId w:val="26"/>
        </w:numPr>
        <w:tabs>
          <w:tab w:val="clear" w:pos="709"/>
        </w:tabs>
        <w:ind w:left="426" w:hanging="284"/>
        <w:contextualSpacing/>
        <w:jc w:val="both"/>
        <w:rPr>
          <w:rFonts w:ascii="Verdana" w:hAnsi="Verdana"/>
          <w:sz w:val="22"/>
          <w:szCs w:val="22"/>
        </w:rPr>
      </w:pPr>
      <w:r w:rsidRPr="00376188">
        <w:rPr>
          <w:rFonts w:ascii="Verdana" w:hAnsi="Verdana"/>
          <w:sz w:val="22"/>
          <w:szCs w:val="22"/>
        </w:rPr>
        <w:t>la totalità del denominato “Allegato 9.4: Attività consentite nel Periodo Interinale”;</w:t>
      </w:r>
    </w:p>
    <w:p w:rsidR="00906A57" w:rsidRPr="00376188" w:rsidRDefault="00906A57" w:rsidP="0067665F">
      <w:pPr>
        <w:pStyle w:val="Corpotesto"/>
        <w:numPr>
          <w:ilvl w:val="0"/>
          <w:numId w:val="26"/>
        </w:numPr>
        <w:tabs>
          <w:tab w:val="clear" w:pos="709"/>
        </w:tabs>
        <w:ind w:left="426" w:hanging="284"/>
        <w:contextualSpacing/>
        <w:jc w:val="both"/>
        <w:rPr>
          <w:rFonts w:ascii="Verdana" w:hAnsi="Verdana"/>
          <w:sz w:val="22"/>
          <w:szCs w:val="22"/>
        </w:rPr>
      </w:pPr>
      <w:r w:rsidRPr="00376188">
        <w:rPr>
          <w:rFonts w:ascii="Verdana" w:hAnsi="Verdana"/>
          <w:sz w:val="22"/>
          <w:szCs w:val="22"/>
        </w:rPr>
        <w:t>alcune parti dei restanti documenti mediante oscuramento e/o apposizione di dic</w:t>
      </w:r>
      <w:r w:rsidRPr="00376188">
        <w:rPr>
          <w:rFonts w:ascii="Verdana" w:hAnsi="Verdana"/>
          <w:sz w:val="22"/>
          <w:szCs w:val="22"/>
        </w:rPr>
        <w:t>i</w:t>
      </w:r>
      <w:r w:rsidRPr="00376188">
        <w:rPr>
          <w:rFonts w:ascii="Verdana" w:hAnsi="Verdana"/>
          <w:sz w:val="22"/>
          <w:szCs w:val="22"/>
        </w:rPr>
        <w:t>tura “omissis” o similare.</w:t>
      </w:r>
    </w:p>
    <w:p w:rsidR="00906A57" w:rsidRPr="00376188" w:rsidRDefault="00906A57" w:rsidP="00064839">
      <w:pPr>
        <w:pStyle w:val="Corpotesto"/>
        <w:tabs>
          <w:tab w:val="clear" w:pos="709"/>
        </w:tabs>
        <w:ind w:left="360"/>
        <w:contextualSpacing/>
        <w:jc w:val="both"/>
        <w:rPr>
          <w:rFonts w:ascii="Verdana" w:hAnsi="Verdana"/>
          <w:sz w:val="22"/>
          <w:szCs w:val="22"/>
        </w:rPr>
      </w:pPr>
    </w:p>
    <w:p w:rsidR="00906A57" w:rsidRPr="00376188" w:rsidRDefault="00906A57" w:rsidP="00906A57">
      <w:pPr>
        <w:pStyle w:val="Corpotesto"/>
        <w:contextualSpacing/>
        <w:jc w:val="both"/>
        <w:rPr>
          <w:rFonts w:ascii="Verdana" w:hAnsi="Verdana"/>
          <w:sz w:val="22"/>
          <w:szCs w:val="22"/>
        </w:rPr>
      </w:pPr>
      <w:r w:rsidRPr="00376188">
        <w:rPr>
          <w:rFonts w:ascii="Verdana" w:hAnsi="Verdana"/>
          <w:sz w:val="22"/>
          <w:szCs w:val="22"/>
        </w:rPr>
        <w:t xml:space="preserve">Nel caso in cui la Fusione venisse approvata senza le maggioranze di cui all’articolo 49, comma 1, </w:t>
      </w:r>
      <w:proofErr w:type="spellStart"/>
      <w:r w:rsidRPr="00376188">
        <w:rPr>
          <w:rFonts w:ascii="Verdana" w:hAnsi="Verdana"/>
          <w:sz w:val="22"/>
          <w:szCs w:val="22"/>
        </w:rPr>
        <w:t>lett</w:t>
      </w:r>
      <w:proofErr w:type="spellEnd"/>
      <w:r w:rsidRPr="00376188">
        <w:rPr>
          <w:rFonts w:ascii="Verdana" w:hAnsi="Verdana"/>
          <w:sz w:val="22"/>
          <w:szCs w:val="22"/>
        </w:rPr>
        <w:t>. g), del Regolamento Emittenti, sorgerebbe in capo ai soci pattisti l'obbligo di partecipare ad un’offerta pubblica di acquisto (OPA) solidale, e, quindi, a</w:t>
      </w:r>
      <w:r w:rsidRPr="00376188">
        <w:rPr>
          <w:rFonts w:ascii="Verdana" w:hAnsi="Verdana"/>
          <w:sz w:val="22"/>
          <w:szCs w:val="22"/>
        </w:rPr>
        <w:t>n</w:t>
      </w:r>
      <w:r w:rsidRPr="00376188">
        <w:rPr>
          <w:rFonts w:ascii="Verdana" w:hAnsi="Verdana"/>
          <w:sz w:val="22"/>
          <w:szCs w:val="22"/>
        </w:rPr>
        <w:t xml:space="preserve">che </w:t>
      </w:r>
      <w:r w:rsidRPr="001B46E2">
        <w:rPr>
          <w:rFonts w:ascii="Verdana" w:hAnsi="Verdana"/>
          <w:sz w:val="22"/>
          <w:szCs w:val="22"/>
        </w:rPr>
        <w:t>la società Lario Reti Holding Spa</w:t>
      </w:r>
      <w:r w:rsidRPr="00376188">
        <w:rPr>
          <w:rFonts w:ascii="Verdana" w:hAnsi="Verdana"/>
          <w:sz w:val="22"/>
          <w:szCs w:val="22"/>
        </w:rPr>
        <w:t xml:space="preserve"> potrebbe essere chiamat</w:t>
      </w:r>
      <w:r w:rsidR="001B46E2">
        <w:rPr>
          <w:rFonts w:ascii="Verdana" w:hAnsi="Verdana"/>
          <w:sz w:val="22"/>
          <w:szCs w:val="22"/>
        </w:rPr>
        <w:t>a</w:t>
      </w:r>
      <w:r w:rsidRPr="00376188">
        <w:rPr>
          <w:rFonts w:ascii="Verdana" w:hAnsi="Verdana"/>
          <w:sz w:val="22"/>
          <w:szCs w:val="22"/>
        </w:rPr>
        <w:t xml:space="preserve"> ad acquistare le azioni degli aderenti all'OPA in proporzione alla quota di capitale sociale detenuta.</w:t>
      </w:r>
    </w:p>
    <w:p w:rsidR="00906A57" w:rsidRPr="00376188" w:rsidRDefault="00906A57" w:rsidP="00906A57">
      <w:pPr>
        <w:pStyle w:val="Corpotesto"/>
        <w:contextualSpacing/>
        <w:jc w:val="both"/>
        <w:rPr>
          <w:rFonts w:ascii="Verdana" w:hAnsi="Verdana"/>
          <w:sz w:val="22"/>
          <w:szCs w:val="22"/>
        </w:rPr>
      </w:pPr>
    </w:p>
    <w:p w:rsidR="001B46E2" w:rsidRPr="001B46E2" w:rsidRDefault="001B46E2" w:rsidP="001B46E2">
      <w:pPr>
        <w:contextualSpacing/>
        <w:jc w:val="both"/>
        <w:rPr>
          <w:rFonts w:ascii="Verdana" w:hAnsi="Verdana"/>
          <w:b/>
          <w:sz w:val="22"/>
          <w:szCs w:val="22"/>
        </w:rPr>
      </w:pPr>
      <w:r w:rsidRPr="001B46E2">
        <w:rPr>
          <w:rFonts w:ascii="Verdana" w:hAnsi="Verdana"/>
          <w:sz w:val="22"/>
          <w:szCs w:val="22"/>
        </w:rPr>
        <w:t>Nell’attuale quadro normativo di riferimento:</w:t>
      </w:r>
    </w:p>
    <w:p w:rsidR="001B46E2" w:rsidRPr="001B46E2" w:rsidRDefault="001B46E2" w:rsidP="0067665F">
      <w:pPr>
        <w:numPr>
          <w:ilvl w:val="0"/>
          <w:numId w:val="32"/>
        </w:numPr>
        <w:ind w:left="426" w:hanging="284"/>
        <w:contextualSpacing/>
        <w:jc w:val="both"/>
        <w:rPr>
          <w:rFonts w:ascii="Verdana" w:hAnsi="Verdana"/>
          <w:sz w:val="22"/>
          <w:szCs w:val="22"/>
        </w:rPr>
      </w:pPr>
      <w:r w:rsidRPr="001B46E2">
        <w:rPr>
          <w:rFonts w:ascii="Verdana" w:hAnsi="Verdana"/>
          <w:sz w:val="22"/>
          <w:szCs w:val="22"/>
        </w:rPr>
        <w:t>per quanto riguarda la società LRH di cui il Comune è socio, l’aggregazione è effe</w:t>
      </w:r>
      <w:r w:rsidRPr="001B46E2">
        <w:rPr>
          <w:rFonts w:ascii="Verdana" w:hAnsi="Verdana"/>
          <w:sz w:val="22"/>
          <w:szCs w:val="22"/>
        </w:rPr>
        <w:t>t</w:t>
      </w:r>
      <w:r w:rsidRPr="001B46E2">
        <w:rPr>
          <w:rFonts w:ascii="Verdana" w:hAnsi="Verdana"/>
          <w:sz w:val="22"/>
          <w:szCs w:val="22"/>
        </w:rPr>
        <w:t>tuata per il tramite della fusione e ciò in forza:</w:t>
      </w:r>
    </w:p>
    <w:p w:rsidR="007922E5" w:rsidRDefault="001B46E2" w:rsidP="0067665F">
      <w:pPr>
        <w:pStyle w:val="Paragrafoelenco"/>
        <w:numPr>
          <w:ilvl w:val="0"/>
          <w:numId w:val="31"/>
        </w:numPr>
        <w:autoSpaceDE w:val="0"/>
        <w:autoSpaceDN w:val="0"/>
        <w:adjustRightInd w:val="0"/>
        <w:ind w:left="851" w:hanging="284"/>
        <w:jc w:val="both"/>
        <w:rPr>
          <w:rFonts w:ascii="Verdana" w:hAnsi="Verdana"/>
          <w:sz w:val="22"/>
          <w:szCs w:val="22"/>
        </w:rPr>
      </w:pPr>
      <w:r w:rsidRPr="007922E5">
        <w:rPr>
          <w:rFonts w:ascii="Verdana" w:hAnsi="Verdana"/>
          <w:sz w:val="22"/>
          <w:szCs w:val="22"/>
        </w:rPr>
        <w:t xml:space="preserve">del disposto del richiamato art. 20 del d. </w:t>
      </w:r>
      <w:proofErr w:type="spellStart"/>
      <w:r w:rsidRPr="007922E5">
        <w:rPr>
          <w:rFonts w:ascii="Verdana" w:hAnsi="Verdana"/>
          <w:sz w:val="22"/>
          <w:szCs w:val="22"/>
        </w:rPr>
        <w:t>lgs</w:t>
      </w:r>
      <w:proofErr w:type="spellEnd"/>
      <w:r w:rsidRPr="007922E5">
        <w:rPr>
          <w:rFonts w:ascii="Verdana" w:hAnsi="Verdana"/>
          <w:sz w:val="22"/>
          <w:szCs w:val="22"/>
        </w:rPr>
        <w:t>. n. 175/2016 e s.m.i. ed in part</w:t>
      </w:r>
      <w:r w:rsidRPr="007922E5">
        <w:rPr>
          <w:rFonts w:ascii="Verdana" w:hAnsi="Verdana"/>
          <w:sz w:val="22"/>
          <w:szCs w:val="22"/>
        </w:rPr>
        <w:t>i</w:t>
      </w:r>
      <w:r w:rsidRPr="007922E5">
        <w:rPr>
          <w:rFonts w:ascii="Verdana" w:hAnsi="Verdana"/>
          <w:sz w:val="22"/>
          <w:szCs w:val="22"/>
        </w:rPr>
        <w:t xml:space="preserve">colare dei commi 1 e 2 </w:t>
      </w:r>
      <w:proofErr w:type="spellStart"/>
      <w:r w:rsidRPr="007922E5">
        <w:rPr>
          <w:rFonts w:ascii="Verdana" w:hAnsi="Verdana"/>
          <w:sz w:val="22"/>
          <w:szCs w:val="22"/>
        </w:rPr>
        <w:t>lett</w:t>
      </w:r>
      <w:proofErr w:type="spellEnd"/>
      <w:r w:rsidRPr="007922E5">
        <w:rPr>
          <w:rFonts w:ascii="Verdana" w:hAnsi="Verdana"/>
          <w:sz w:val="22"/>
          <w:szCs w:val="22"/>
        </w:rPr>
        <w:t>. g);</w:t>
      </w:r>
      <w:r w:rsidR="007922E5" w:rsidRPr="007922E5">
        <w:rPr>
          <w:rFonts w:ascii="Verdana" w:hAnsi="Verdana"/>
          <w:sz w:val="22"/>
          <w:szCs w:val="22"/>
        </w:rPr>
        <w:t xml:space="preserve"> </w:t>
      </w:r>
    </w:p>
    <w:p w:rsidR="001B46E2" w:rsidRPr="008F6246" w:rsidRDefault="001B46E2" w:rsidP="0067665F">
      <w:pPr>
        <w:pStyle w:val="Paragrafoelenco"/>
        <w:numPr>
          <w:ilvl w:val="0"/>
          <w:numId w:val="31"/>
        </w:numPr>
        <w:autoSpaceDE w:val="0"/>
        <w:autoSpaceDN w:val="0"/>
        <w:adjustRightInd w:val="0"/>
        <w:ind w:left="851" w:hanging="284"/>
        <w:jc w:val="both"/>
        <w:rPr>
          <w:rFonts w:ascii="Verdana" w:hAnsi="Verdana"/>
          <w:sz w:val="22"/>
          <w:szCs w:val="22"/>
        </w:rPr>
      </w:pPr>
      <w:r w:rsidRPr="007922E5">
        <w:rPr>
          <w:rFonts w:ascii="Verdana" w:hAnsi="Verdana"/>
          <w:sz w:val="22"/>
          <w:szCs w:val="22"/>
        </w:rPr>
        <w:t xml:space="preserve">dei contenuti delle </w:t>
      </w:r>
      <w:r w:rsidR="007922E5" w:rsidRPr="007922E5">
        <w:rPr>
          <w:rFonts w:ascii="Verdana" w:hAnsi="Verdana"/>
          <w:sz w:val="22"/>
          <w:szCs w:val="22"/>
        </w:rPr>
        <w:t>“Linee di indirizzo strategiche per l’aggregazione di società nel campo del</w:t>
      </w:r>
      <w:r w:rsidR="008F6246">
        <w:rPr>
          <w:rFonts w:ascii="Verdana" w:hAnsi="Verdana"/>
          <w:sz w:val="22"/>
          <w:szCs w:val="22"/>
        </w:rPr>
        <w:t>l’energia elettrica e del gas”</w:t>
      </w:r>
      <w:r w:rsidR="008F6246" w:rsidRPr="008F6246">
        <w:rPr>
          <w:rFonts w:ascii="Verdana" w:hAnsi="Verdana"/>
          <w:sz w:val="22"/>
          <w:szCs w:val="22"/>
        </w:rPr>
        <w:t xml:space="preserve"> </w:t>
      </w:r>
      <w:r w:rsidR="008F6246">
        <w:rPr>
          <w:rFonts w:ascii="Verdana" w:hAnsi="Verdana"/>
          <w:sz w:val="22"/>
          <w:szCs w:val="22"/>
        </w:rPr>
        <w:t xml:space="preserve">approvate dal Consiglio comunale con </w:t>
      </w:r>
      <w:r w:rsidR="00064839">
        <w:rPr>
          <w:rFonts w:ascii="Verdana" w:hAnsi="Verdana"/>
          <w:sz w:val="22"/>
          <w:szCs w:val="22"/>
        </w:rPr>
        <w:t xml:space="preserve">la citata </w:t>
      </w:r>
      <w:r w:rsidR="008F6246">
        <w:rPr>
          <w:rFonts w:ascii="Verdana" w:hAnsi="Verdana"/>
          <w:sz w:val="22"/>
          <w:szCs w:val="22"/>
        </w:rPr>
        <w:t>deliberazione n. 78 del 18.12.2017;</w:t>
      </w:r>
    </w:p>
    <w:p w:rsidR="001B46E2" w:rsidRPr="001B46E2" w:rsidRDefault="001B46E2" w:rsidP="0067665F">
      <w:pPr>
        <w:numPr>
          <w:ilvl w:val="0"/>
          <w:numId w:val="32"/>
        </w:numPr>
        <w:ind w:left="426" w:hanging="284"/>
        <w:contextualSpacing/>
        <w:jc w:val="both"/>
        <w:rPr>
          <w:rFonts w:ascii="Verdana" w:hAnsi="Verdana"/>
          <w:sz w:val="22"/>
          <w:szCs w:val="22"/>
        </w:rPr>
      </w:pPr>
      <w:r w:rsidRPr="001B46E2">
        <w:rPr>
          <w:rFonts w:ascii="Verdana" w:hAnsi="Verdana"/>
          <w:sz w:val="22"/>
          <w:szCs w:val="22"/>
        </w:rPr>
        <w:t>la Fusione è legata all’individuazione di un soggetto con caratteristiche infungibili in quanto non costituisce un atto di mera disposizione diretto a trasferire la titol</w:t>
      </w:r>
      <w:r w:rsidRPr="001B46E2">
        <w:rPr>
          <w:rFonts w:ascii="Verdana" w:hAnsi="Verdana"/>
          <w:sz w:val="22"/>
          <w:szCs w:val="22"/>
        </w:rPr>
        <w:t>a</w:t>
      </w:r>
      <w:r w:rsidRPr="001B46E2">
        <w:rPr>
          <w:rFonts w:ascii="Verdana" w:hAnsi="Verdana"/>
          <w:sz w:val="22"/>
          <w:szCs w:val="22"/>
        </w:rPr>
        <w:t>rità di una partecipazione azionaria o di affidamento di servizi, ma un modello o</w:t>
      </w:r>
      <w:r w:rsidRPr="001B46E2">
        <w:rPr>
          <w:rFonts w:ascii="Verdana" w:hAnsi="Verdana"/>
          <w:sz w:val="22"/>
          <w:szCs w:val="22"/>
        </w:rPr>
        <w:t>r</w:t>
      </w:r>
      <w:r w:rsidRPr="001B46E2">
        <w:rPr>
          <w:rFonts w:ascii="Verdana" w:hAnsi="Verdana"/>
          <w:sz w:val="22"/>
          <w:szCs w:val="22"/>
        </w:rPr>
        <w:t>ganizzativo che deve essere valutato in maniera autonoma, sulla base del suo e</w:t>
      </w:r>
      <w:r w:rsidRPr="001B46E2">
        <w:rPr>
          <w:rFonts w:ascii="Verdana" w:hAnsi="Verdana"/>
          <w:sz w:val="22"/>
          <w:szCs w:val="22"/>
        </w:rPr>
        <w:t>f</w:t>
      </w:r>
      <w:r w:rsidRPr="001B46E2">
        <w:rPr>
          <w:rFonts w:ascii="Verdana" w:hAnsi="Verdana"/>
          <w:sz w:val="22"/>
          <w:szCs w:val="22"/>
        </w:rPr>
        <w:t>fettivo significato economico;</w:t>
      </w:r>
    </w:p>
    <w:p w:rsidR="001B46E2" w:rsidRPr="001B46E2" w:rsidRDefault="001B46E2" w:rsidP="0067665F">
      <w:pPr>
        <w:numPr>
          <w:ilvl w:val="0"/>
          <w:numId w:val="32"/>
        </w:numPr>
        <w:ind w:left="426" w:hanging="284"/>
        <w:contextualSpacing/>
        <w:jc w:val="both"/>
        <w:rPr>
          <w:rFonts w:ascii="Verdana" w:hAnsi="Verdana"/>
          <w:sz w:val="22"/>
          <w:szCs w:val="22"/>
        </w:rPr>
      </w:pPr>
      <w:r w:rsidRPr="001B46E2">
        <w:rPr>
          <w:rFonts w:ascii="Verdana" w:hAnsi="Verdana"/>
          <w:sz w:val="22"/>
          <w:szCs w:val="22"/>
        </w:rPr>
        <w:t>tali conclusioni risultano confermate anche dal giudice amministrativo che nell’ambito di un ricorso proposto contro un caso di fusione ha prima respinto la domanda cautelare (ordinanza n. 273/05 del TAR Lombardia – Sezione di Brescia) e successivamente respinto l’appello per l’annullamento della predetta ordinanza (ordinanza n. 1610/05 del Consiglio di Stato, sez.VI); il TAR Lombardia – Sezione di Brescia, con l’ordinanza 273/05, ha infatti evidenziato che “</w:t>
      </w:r>
      <w:r w:rsidRPr="001B46E2">
        <w:rPr>
          <w:rFonts w:ascii="Verdana" w:hAnsi="Verdana"/>
          <w:i/>
          <w:sz w:val="22"/>
          <w:szCs w:val="22"/>
        </w:rPr>
        <w:t>la fusione ha un senso se è utile sulla base di una valutazione economica e all’interno di una pr</w:t>
      </w:r>
      <w:r w:rsidRPr="001B46E2">
        <w:rPr>
          <w:rFonts w:ascii="Verdana" w:hAnsi="Verdana"/>
          <w:i/>
          <w:sz w:val="22"/>
          <w:szCs w:val="22"/>
        </w:rPr>
        <w:t>o</w:t>
      </w:r>
      <w:r w:rsidRPr="001B46E2">
        <w:rPr>
          <w:rFonts w:ascii="Verdana" w:hAnsi="Verdana"/>
          <w:i/>
          <w:sz w:val="22"/>
          <w:szCs w:val="22"/>
        </w:rPr>
        <w:t>spettiva industriale di lungo periodo, circostanze che non possono normalmente emergere attraverso un confronto concorrenziale condotto secondo le procedure amministrative</w:t>
      </w:r>
      <w:r w:rsidRPr="001B46E2">
        <w:rPr>
          <w:rFonts w:ascii="Verdana" w:hAnsi="Verdana"/>
          <w:sz w:val="22"/>
          <w:szCs w:val="22"/>
        </w:rPr>
        <w:t>”; il richiamato Consiglio di Stato ha altresì ribadito che “</w:t>
      </w:r>
      <w:r w:rsidRPr="001B46E2">
        <w:rPr>
          <w:rFonts w:ascii="Verdana" w:hAnsi="Verdana"/>
          <w:i/>
          <w:sz w:val="22"/>
          <w:szCs w:val="22"/>
        </w:rPr>
        <w:t>con la f</w:t>
      </w:r>
      <w:r w:rsidRPr="001B46E2">
        <w:rPr>
          <w:rFonts w:ascii="Verdana" w:hAnsi="Verdana"/>
          <w:i/>
          <w:sz w:val="22"/>
          <w:szCs w:val="22"/>
        </w:rPr>
        <w:t>u</w:t>
      </w:r>
      <w:r w:rsidRPr="001B46E2">
        <w:rPr>
          <w:rFonts w:ascii="Verdana" w:hAnsi="Verdana"/>
          <w:i/>
          <w:sz w:val="22"/>
          <w:szCs w:val="22"/>
        </w:rPr>
        <w:t>sione si realizza un modulo organizzativo che integra strutture societarie e non un ricorso al mercato per la scelta di un gestore di servizi pubblici locali</w:t>
      </w:r>
      <w:r w:rsidRPr="001B46E2">
        <w:rPr>
          <w:rFonts w:ascii="Verdana" w:hAnsi="Verdana"/>
          <w:sz w:val="22"/>
          <w:szCs w:val="22"/>
        </w:rPr>
        <w:t>”; di nuovo il TAR Lombardia, Sezione di Brescia, con ordinanza n. 420/2005, ha statuito che “</w:t>
      </w:r>
      <w:r w:rsidRPr="001B46E2">
        <w:rPr>
          <w:rFonts w:ascii="Verdana" w:hAnsi="Verdana"/>
          <w:i/>
          <w:sz w:val="22"/>
          <w:szCs w:val="22"/>
        </w:rPr>
        <w:t>la fusione in quanto modello organizzativo autonomo non è sottoposta alle regole dell’evidenza pubblica ma soltanto ai limiti sulle concentrazioni e sulle pratiche a</w:t>
      </w:r>
      <w:r w:rsidRPr="001B46E2">
        <w:rPr>
          <w:rFonts w:ascii="Verdana" w:hAnsi="Verdana"/>
          <w:i/>
          <w:sz w:val="22"/>
          <w:szCs w:val="22"/>
        </w:rPr>
        <w:t>n</w:t>
      </w:r>
      <w:r w:rsidRPr="001B46E2">
        <w:rPr>
          <w:rFonts w:ascii="Verdana" w:hAnsi="Verdana"/>
          <w:i/>
          <w:sz w:val="22"/>
          <w:szCs w:val="22"/>
        </w:rPr>
        <w:t>ticoncorrenziali</w:t>
      </w:r>
      <w:r w:rsidRPr="001B46E2">
        <w:rPr>
          <w:rFonts w:ascii="Verdana" w:hAnsi="Verdana"/>
          <w:sz w:val="22"/>
          <w:szCs w:val="22"/>
        </w:rPr>
        <w:t>”.</w:t>
      </w:r>
    </w:p>
    <w:p w:rsidR="001B46E2" w:rsidRDefault="001B46E2" w:rsidP="00906A57">
      <w:pPr>
        <w:pStyle w:val="Corpotesto"/>
        <w:contextualSpacing/>
        <w:jc w:val="both"/>
        <w:rPr>
          <w:rFonts w:ascii="Verdana" w:hAnsi="Verdana"/>
          <w:sz w:val="22"/>
          <w:szCs w:val="22"/>
        </w:rPr>
      </w:pPr>
    </w:p>
    <w:p w:rsidR="008C31B4" w:rsidRPr="00920DBE" w:rsidRDefault="008C31B4" w:rsidP="008C31B4">
      <w:pPr>
        <w:pStyle w:val="Corpotesto"/>
        <w:contextualSpacing/>
        <w:jc w:val="both"/>
        <w:rPr>
          <w:rFonts w:ascii="Verdana" w:hAnsi="Verdana"/>
          <w:sz w:val="22"/>
          <w:szCs w:val="22"/>
        </w:rPr>
      </w:pPr>
      <w:r w:rsidRPr="00920DBE">
        <w:rPr>
          <w:rFonts w:ascii="Verdana" w:hAnsi="Verdana"/>
          <w:sz w:val="22"/>
          <w:szCs w:val="22"/>
        </w:rPr>
        <w:t xml:space="preserve">Dal combinato disposto dell’art. 5, commi 1 e 2, dell’art. 7, commi 2 e 7 e dell’art. 8, commi 1 e 3, del d. </w:t>
      </w:r>
      <w:proofErr w:type="spellStart"/>
      <w:r w:rsidRPr="00920DBE">
        <w:rPr>
          <w:rFonts w:ascii="Verdana" w:hAnsi="Verdana"/>
          <w:sz w:val="22"/>
          <w:szCs w:val="22"/>
        </w:rPr>
        <w:t>lgs</w:t>
      </w:r>
      <w:proofErr w:type="spellEnd"/>
      <w:r w:rsidRPr="00920DBE">
        <w:rPr>
          <w:rFonts w:ascii="Verdana" w:hAnsi="Verdana"/>
          <w:sz w:val="22"/>
          <w:szCs w:val="22"/>
        </w:rPr>
        <w:t xml:space="preserve">. n. 175/2016 e </w:t>
      </w:r>
      <w:proofErr w:type="spellStart"/>
      <w:r w:rsidRPr="00920DBE">
        <w:rPr>
          <w:rFonts w:ascii="Verdana" w:hAnsi="Verdana"/>
          <w:sz w:val="22"/>
          <w:szCs w:val="22"/>
        </w:rPr>
        <w:t>s.m</w:t>
      </w:r>
      <w:proofErr w:type="spellEnd"/>
      <w:r w:rsidRPr="00920DBE">
        <w:rPr>
          <w:rFonts w:ascii="Verdana" w:hAnsi="Verdana"/>
          <w:sz w:val="22"/>
          <w:szCs w:val="22"/>
        </w:rPr>
        <w:t>. ed i. emerge che lo schema di atto delib</w:t>
      </w:r>
      <w:r w:rsidRPr="00920DBE">
        <w:rPr>
          <w:rFonts w:ascii="Verdana" w:hAnsi="Verdana"/>
          <w:sz w:val="22"/>
          <w:szCs w:val="22"/>
        </w:rPr>
        <w:t>e</w:t>
      </w:r>
      <w:r w:rsidRPr="00920DBE">
        <w:rPr>
          <w:rFonts w:ascii="Verdana" w:hAnsi="Verdana"/>
          <w:sz w:val="22"/>
          <w:szCs w:val="22"/>
        </w:rPr>
        <w:t>rativo di un’operazione societaria quale quella in esame deve essere sottoposta a fo</w:t>
      </w:r>
      <w:r w:rsidRPr="00920DBE">
        <w:rPr>
          <w:rFonts w:ascii="Verdana" w:hAnsi="Verdana"/>
          <w:sz w:val="22"/>
          <w:szCs w:val="22"/>
        </w:rPr>
        <w:t>r</w:t>
      </w:r>
      <w:r w:rsidRPr="00920DBE">
        <w:rPr>
          <w:rFonts w:ascii="Verdana" w:hAnsi="Verdana"/>
          <w:sz w:val="22"/>
          <w:szCs w:val="22"/>
        </w:rPr>
        <w:t>me di consultazione pubblica.</w:t>
      </w:r>
    </w:p>
    <w:p w:rsidR="008C31B4" w:rsidRPr="00920DBE" w:rsidRDefault="008C31B4" w:rsidP="008C31B4">
      <w:pPr>
        <w:pStyle w:val="Corpotesto"/>
        <w:contextualSpacing/>
        <w:jc w:val="both"/>
        <w:rPr>
          <w:rFonts w:ascii="Verdana" w:hAnsi="Verdana"/>
          <w:sz w:val="22"/>
          <w:szCs w:val="22"/>
        </w:rPr>
      </w:pPr>
    </w:p>
    <w:p w:rsidR="008C31B4" w:rsidRPr="00920DBE" w:rsidRDefault="008C31B4" w:rsidP="008C31B4">
      <w:pPr>
        <w:pStyle w:val="Corpotesto"/>
        <w:contextualSpacing/>
        <w:jc w:val="both"/>
        <w:rPr>
          <w:rFonts w:ascii="Verdana" w:hAnsi="Verdana"/>
          <w:sz w:val="22"/>
          <w:szCs w:val="22"/>
        </w:rPr>
      </w:pPr>
      <w:r w:rsidRPr="00920DBE">
        <w:rPr>
          <w:rFonts w:ascii="Verdana" w:hAnsi="Verdana"/>
          <w:sz w:val="22"/>
          <w:szCs w:val="22"/>
        </w:rPr>
        <w:t xml:space="preserve">A tal fine, in data </w:t>
      </w:r>
      <w:r w:rsidR="00DE5079">
        <w:rPr>
          <w:rFonts w:ascii="Verdana" w:hAnsi="Verdana"/>
          <w:sz w:val="22"/>
          <w:szCs w:val="22"/>
        </w:rPr>
        <w:t>[</w:t>
      </w:r>
      <w:r w:rsidR="00DE5079">
        <w:rPr>
          <w:rFonts w:ascii="Arial" w:eastAsia="Times New Roman" w:hAnsi="Arial" w:cs="Arial" w:hint="eastAsia"/>
          <w:sz w:val="22"/>
          <w:szCs w:val="22"/>
          <w:lang w:eastAsia="ja-JP"/>
        </w:rPr>
        <w:sym w:font="Wingdings" w:char="F06C"/>
      </w:r>
      <w:r w:rsidR="00DE5079">
        <w:rPr>
          <w:rFonts w:ascii="Arial" w:eastAsia="Times New Roman" w:hAnsi="Arial" w:cs="Arial"/>
          <w:sz w:val="22"/>
          <w:szCs w:val="22"/>
          <w:lang w:eastAsia="ja-JP"/>
        </w:rPr>
        <w:t>]</w:t>
      </w:r>
      <w:r w:rsidRPr="00920DBE">
        <w:rPr>
          <w:rFonts w:ascii="Verdana" w:hAnsi="Verdana"/>
          <w:sz w:val="22"/>
          <w:szCs w:val="22"/>
        </w:rPr>
        <w:t xml:space="preserve"> è stata pubblicata sulla home page del sito web istituzionale del Comune di </w:t>
      </w:r>
      <w:r w:rsidR="0064200E">
        <w:rPr>
          <w:rFonts w:ascii="Verdana" w:hAnsi="Verdana"/>
          <w:sz w:val="22"/>
          <w:szCs w:val="22"/>
        </w:rPr>
        <w:t>[</w:t>
      </w:r>
      <w:r w:rsidR="0064200E">
        <w:rPr>
          <w:rFonts w:ascii="Arial" w:eastAsia="Times New Roman" w:hAnsi="Arial" w:cs="Arial" w:hint="eastAsia"/>
          <w:sz w:val="22"/>
          <w:szCs w:val="22"/>
          <w:lang w:eastAsia="ja-JP"/>
        </w:rPr>
        <w:sym w:font="Wingdings" w:char="F06C"/>
      </w:r>
      <w:r w:rsidR="0064200E">
        <w:rPr>
          <w:rFonts w:ascii="Arial" w:eastAsia="Times New Roman" w:hAnsi="Arial" w:cs="Arial"/>
          <w:sz w:val="22"/>
          <w:szCs w:val="22"/>
          <w:lang w:eastAsia="ja-JP"/>
        </w:rPr>
        <w:t>]</w:t>
      </w:r>
      <w:r w:rsidRPr="00920DBE">
        <w:rPr>
          <w:rFonts w:ascii="Verdana" w:hAnsi="Verdana"/>
          <w:sz w:val="22"/>
          <w:szCs w:val="22"/>
        </w:rPr>
        <w:t xml:space="preserve"> apposita pagina dal titolo “Consultazione pubblica sul progetto di a</w:t>
      </w:r>
      <w:r w:rsidRPr="00920DBE">
        <w:rPr>
          <w:rFonts w:ascii="Verdana" w:hAnsi="Verdana"/>
          <w:sz w:val="22"/>
          <w:szCs w:val="22"/>
        </w:rPr>
        <w:t>g</w:t>
      </w:r>
      <w:r w:rsidRPr="00920DBE">
        <w:rPr>
          <w:rFonts w:ascii="Verdana" w:hAnsi="Verdana"/>
          <w:sz w:val="22"/>
          <w:szCs w:val="22"/>
        </w:rPr>
        <w:t xml:space="preserve">gregazione societaria delle società Acel Service Srl e Lario Reti Gas Srl </w:t>
      </w:r>
      <w:r w:rsidR="004120A4">
        <w:rPr>
          <w:rFonts w:ascii="Verdana" w:hAnsi="Verdana"/>
          <w:sz w:val="22"/>
          <w:szCs w:val="22"/>
        </w:rPr>
        <w:t>appartenenti</w:t>
      </w:r>
      <w:r w:rsidR="004120A4" w:rsidRPr="00920DBE">
        <w:rPr>
          <w:rFonts w:ascii="Verdana" w:hAnsi="Verdana"/>
          <w:sz w:val="22"/>
          <w:szCs w:val="22"/>
        </w:rPr>
        <w:t xml:space="preserve"> </w:t>
      </w:r>
      <w:r w:rsidRPr="00920DBE">
        <w:rPr>
          <w:rFonts w:ascii="Verdana" w:hAnsi="Verdana"/>
          <w:sz w:val="22"/>
          <w:szCs w:val="22"/>
        </w:rPr>
        <w:t>al Gruppo Lario Reti Holding SpA”.</w:t>
      </w:r>
      <w:r w:rsidR="004120A4">
        <w:rPr>
          <w:rFonts w:ascii="Verdana" w:hAnsi="Verdana"/>
          <w:sz w:val="22"/>
          <w:szCs w:val="22"/>
        </w:rPr>
        <w:t xml:space="preserve"> </w:t>
      </w:r>
    </w:p>
    <w:p w:rsidR="008C31B4" w:rsidRDefault="008C31B4" w:rsidP="008C31B4">
      <w:pPr>
        <w:pStyle w:val="Corpotesto"/>
        <w:contextualSpacing/>
        <w:jc w:val="both"/>
        <w:rPr>
          <w:rFonts w:ascii="Verdana" w:hAnsi="Verdana"/>
          <w:sz w:val="22"/>
        </w:rPr>
      </w:pPr>
      <w:r>
        <w:rPr>
          <w:rFonts w:ascii="Verdana" w:hAnsi="Verdana"/>
          <w:sz w:val="22"/>
        </w:rPr>
        <w:t xml:space="preserve">Nella suddetta </w:t>
      </w:r>
      <w:r w:rsidRPr="00920DBE">
        <w:rPr>
          <w:rFonts w:ascii="Verdana" w:hAnsi="Verdana"/>
          <w:sz w:val="22"/>
          <w:szCs w:val="22"/>
        </w:rPr>
        <w:t>pagina, dopo una sintetica ricostruzione del</w:t>
      </w:r>
      <w:r>
        <w:rPr>
          <w:rFonts w:ascii="Verdana" w:hAnsi="Verdana"/>
          <w:sz w:val="22"/>
        </w:rPr>
        <w:t xml:space="preserve"> processo di aggregazione</w:t>
      </w:r>
      <w:r w:rsidRPr="00920DBE">
        <w:rPr>
          <w:rFonts w:ascii="Verdana" w:hAnsi="Verdana"/>
          <w:sz w:val="22"/>
          <w:szCs w:val="22"/>
        </w:rPr>
        <w:t xml:space="preserve">, sono stati pubblicati </w:t>
      </w:r>
      <w:r>
        <w:rPr>
          <w:rFonts w:ascii="Verdana" w:hAnsi="Verdana"/>
          <w:sz w:val="22"/>
        </w:rPr>
        <w:t xml:space="preserve">alcuni atti inerenti </w:t>
      </w:r>
      <w:r w:rsidR="00DE5079">
        <w:rPr>
          <w:rFonts w:ascii="Verdana" w:hAnsi="Verdana"/>
          <w:sz w:val="22"/>
        </w:rPr>
        <w:t>i</w:t>
      </w:r>
      <w:r>
        <w:rPr>
          <w:rFonts w:ascii="Verdana" w:hAnsi="Verdana"/>
          <w:sz w:val="22"/>
        </w:rPr>
        <w:t xml:space="preserve">l percorso avviato ed </w:t>
      </w:r>
      <w:r w:rsidRPr="00920DBE">
        <w:rPr>
          <w:rFonts w:ascii="Verdana" w:hAnsi="Verdana"/>
          <w:sz w:val="22"/>
          <w:szCs w:val="22"/>
        </w:rPr>
        <w:t xml:space="preserve">è stato formulato </w:t>
      </w:r>
      <w:r>
        <w:rPr>
          <w:rFonts w:ascii="Verdana" w:hAnsi="Verdana"/>
          <w:sz w:val="22"/>
        </w:rPr>
        <w:t>invito</w:t>
      </w:r>
      <w:r w:rsidR="00064839">
        <w:rPr>
          <w:rFonts w:ascii="Verdana" w:hAnsi="Verdana"/>
          <w:sz w:val="22"/>
        </w:rPr>
        <w:t>,</w:t>
      </w:r>
      <w:r>
        <w:rPr>
          <w:rFonts w:ascii="Verdana" w:hAnsi="Verdana"/>
          <w:sz w:val="22"/>
        </w:rPr>
        <w:t xml:space="preserve"> aperto a tutti</w:t>
      </w:r>
      <w:r w:rsidR="00064839">
        <w:rPr>
          <w:rFonts w:ascii="Verdana" w:hAnsi="Verdana"/>
          <w:sz w:val="22"/>
        </w:rPr>
        <w:t>,</w:t>
      </w:r>
      <w:r>
        <w:rPr>
          <w:rFonts w:ascii="Verdana" w:hAnsi="Verdana"/>
          <w:sz w:val="22"/>
        </w:rPr>
        <w:t xml:space="preserve"> </w:t>
      </w:r>
      <w:r w:rsidR="004120A4">
        <w:rPr>
          <w:rFonts w:ascii="Verdana" w:hAnsi="Verdana"/>
          <w:sz w:val="22"/>
        </w:rPr>
        <w:t>ad</w:t>
      </w:r>
      <w:r w:rsidRPr="00920DBE">
        <w:rPr>
          <w:rFonts w:ascii="Verdana" w:hAnsi="Verdana"/>
          <w:sz w:val="22"/>
          <w:szCs w:val="22"/>
        </w:rPr>
        <w:t xml:space="preserve"> esprimere il proprio contrib</w:t>
      </w:r>
      <w:r>
        <w:rPr>
          <w:rFonts w:ascii="Verdana" w:hAnsi="Verdana"/>
          <w:sz w:val="22"/>
        </w:rPr>
        <w:t xml:space="preserve">uto entro il termine del </w:t>
      </w:r>
      <w:r w:rsidRPr="00920DBE">
        <w:rPr>
          <w:rFonts w:ascii="Verdana" w:hAnsi="Verdana"/>
          <w:sz w:val="22"/>
          <w:szCs w:val="22"/>
        </w:rPr>
        <w:t>2</w:t>
      </w:r>
      <w:r>
        <w:rPr>
          <w:rFonts w:ascii="Verdana" w:hAnsi="Verdana"/>
          <w:sz w:val="22"/>
        </w:rPr>
        <w:t>5 febbraio 2018.</w:t>
      </w:r>
    </w:p>
    <w:p w:rsidR="007A6A15" w:rsidRPr="00A44412" w:rsidRDefault="007A6A15" w:rsidP="008C31B4">
      <w:pPr>
        <w:pStyle w:val="Corpotesto"/>
        <w:contextualSpacing/>
        <w:jc w:val="both"/>
        <w:rPr>
          <w:rFonts w:ascii="Verdana" w:hAnsi="Verdana"/>
          <w:sz w:val="22"/>
        </w:rPr>
      </w:pPr>
      <w:r w:rsidRPr="00A44412">
        <w:rPr>
          <w:rFonts w:ascii="Verdana" w:hAnsi="Verdana"/>
          <w:sz w:val="22"/>
        </w:rPr>
        <w:t>Viene data lettura dei contributi pervenuti ed il Consiglio comunale ne prende atto.</w:t>
      </w:r>
    </w:p>
    <w:p w:rsidR="003E3565" w:rsidRDefault="003E3565" w:rsidP="003E3565">
      <w:pPr>
        <w:pStyle w:val="Corpotesto"/>
        <w:contextualSpacing/>
        <w:jc w:val="both"/>
        <w:rPr>
          <w:rFonts w:ascii="Verdana" w:hAnsi="Verdana"/>
          <w:sz w:val="22"/>
          <w:szCs w:val="22"/>
        </w:rPr>
      </w:pPr>
    </w:p>
    <w:p w:rsidR="001B46E2" w:rsidRPr="00376188" w:rsidRDefault="001B46E2" w:rsidP="00906A57">
      <w:pPr>
        <w:pStyle w:val="Corpotesto"/>
        <w:contextualSpacing/>
        <w:jc w:val="both"/>
        <w:rPr>
          <w:rFonts w:ascii="Verdana" w:hAnsi="Verdana"/>
          <w:sz w:val="22"/>
          <w:szCs w:val="22"/>
        </w:rPr>
      </w:pPr>
    </w:p>
    <w:p w:rsidR="00316F62" w:rsidRPr="001D0D65" w:rsidRDefault="00316F62" w:rsidP="001D0D65">
      <w:pPr>
        <w:pStyle w:val="Titolo2"/>
        <w:tabs>
          <w:tab w:val="clear" w:pos="1134"/>
          <w:tab w:val="left" w:pos="709"/>
        </w:tabs>
        <w:ind w:left="709" w:hanging="709"/>
        <w:jc w:val="both"/>
        <w:rPr>
          <w:rFonts w:ascii="Verdana" w:hAnsi="Verdana"/>
          <w:b w:val="0"/>
          <w:bCs/>
          <w:sz w:val="22"/>
          <w:szCs w:val="22"/>
        </w:rPr>
      </w:pPr>
      <w:r w:rsidRPr="001D0D65">
        <w:rPr>
          <w:rFonts w:ascii="Verdana" w:hAnsi="Verdana"/>
          <w:bCs/>
          <w:sz w:val="22"/>
          <w:szCs w:val="22"/>
          <w:u w:val="none"/>
        </w:rPr>
        <w:t>2. RICHIAMI NORMATIVI</w:t>
      </w:r>
    </w:p>
    <w:p w:rsidR="001D0D65" w:rsidRPr="001D0D65" w:rsidRDefault="001D0D65" w:rsidP="00316F62">
      <w:pPr>
        <w:tabs>
          <w:tab w:val="left" w:pos="709"/>
        </w:tabs>
        <w:ind w:left="709" w:hanging="709"/>
        <w:rPr>
          <w:rFonts w:ascii="Verdana" w:hAnsi="Verdana"/>
          <w:b/>
          <w:bCs/>
          <w:sz w:val="22"/>
          <w:szCs w:val="22"/>
        </w:rPr>
      </w:pPr>
    </w:p>
    <w:p w:rsidR="001D0D65" w:rsidRPr="001D0D65" w:rsidRDefault="001D0D65" w:rsidP="001D0D65">
      <w:pPr>
        <w:contextualSpacing/>
        <w:jc w:val="both"/>
        <w:rPr>
          <w:rFonts w:ascii="Verdana" w:hAnsi="Verdana"/>
          <w:sz w:val="22"/>
          <w:szCs w:val="22"/>
        </w:rPr>
      </w:pPr>
      <w:r w:rsidRPr="001D0D65">
        <w:rPr>
          <w:rFonts w:ascii="Verdana" w:hAnsi="Verdana"/>
          <w:sz w:val="22"/>
          <w:szCs w:val="22"/>
        </w:rPr>
        <w:t xml:space="preserve">Il D. </w:t>
      </w:r>
      <w:proofErr w:type="spellStart"/>
      <w:r w:rsidRPr="001D0D65">
        <w:rPr>
          <w:rFonts w:ascii="Verdana" w:hAnsi="Verdana"/>
          <w:sz w:val="22"/>
          <w:szCs w:val="22"/>
        </w:rPr>
        <w:t>Lgs</w:t>
      </w:r>
      <w:proofErr w:type="spellEnd"/>
      <w:r w:rsidRPr="001D0D65">
        <w:rPr>
          <w:rFonts w:ascii="Verdana" w:hAnsi="Verdana"/>
          <w:sz w:val="22"/>
          <w:szCs w:val="22"/>
        </w:rPr>
        <w:t>. 19 agosto 2016 n. 175 e s.m.i., il Testo Unico in materia di società a part</w:t>
      </w:r>
      <w:r w:rsidRPr="001D0D65">
        <w:rPr>
          <w:rFonts w:ascii="Verdana" w:hAnsi="Verdana"/>
          <w:sz w:val="22"/>
          <w:szCs w:val="22"/>
        </w:rPr>
        <w:t>e</w:t>
      </w:r>
      <w:r w:rsidRPr="001D0D65">
        <w:rPr>
          <w:rFonts w:ascii="Verdana" w:hAnsi="Verdana"/>
          <w:sz w:val="22"/>
          <w:szCs w:val="22"/>
        </w:rPr>
        <w:t>cipazione pubblica, ha riformato in modo significativo il quadro normativo afferente le società a partecipazione pubblica.</w:t>
      </w:r>
    </w:p>
    <w:p w:rsidR="001D0D65" w:rsidRPr="001D0D65" w:rsidRDefault="001D0D65" w:rsidP="001D0D65">
      <w:pPr>
        <w:contextualSpacing/>
        <w:jc w:val="both"/>
        <w:rPr>
          <w:rFonts w:ascii="Verdana" w:hAnsi="Verdana"/>
          <w:sz w:val="22"/>
          <w:szCs w:val="22"/>
        </w:rPr>
      </w:pPr>
    </w:p>
    <w:p w:rsidR="001D0D65" w:rsidRPr="001D0D65" w:rsidRDefault="001D0D65" w:rsidP="001D0D65">
      <w:pPr>
        <w:contextualSpacing/>
        <w:jc w:val="both"/>
        <w:rPr>
          <w:rFonts w:ascii="Verdana" w:hAnsi="Verdana"/>
          <w:sz w:val="22"/>
          <w:szCs w:val="22"/>
        </w:rPr>
      </w:pPr>
      <w:r w:rsidRPr="001D0D65">
        <w:rPr>
          <w:rFonts w:ascii="Verdana" w:hAnsi="Verdana"/>
          <w:sz w:val="22"/>
          <w:szCs w:val="22"/>
        </w:rPr>
        <w:t xml:space="preserve">In particolare, l’art. 4, comma 2, </w:t>
      </w:r>
      <w:proofErr w:type="spellStart"/>
      <w:r w:rsidRPr="001D0D65">
        <w:rPr>
          <w:rFonts w:ascii="Verdana" w:hAnsi="Verdana"/>
          <w:sz w:val="22"/>
          <w:szCs w:val="22"/>
        </w:rPr>
        <w:t>lett</w:t>
      </w:r>
      <w:proofErr w:type="spellEnd"/>
      <w:r w:rsidRPr="001D0D65">
        <w:rPr>
          <w:rFonts w:ascii="Verdana" w:hAnsi="Verdana"/>
          <w:sz w:val="22"/>
          <w:szCs w:val="22"/>
        </w:rPr>
        <w:t xml:space="preserve">. a), del D. </w:t>
      </w:r>
      <w:proofErr w:type="spellStart"/>
      <w:r w:rsidRPr="001D0D65">
        <w:rPr>
          <w:rFonts w:ascii="Verdana" w:hAnsi="Verdana"/>
          <w:sz w:val="22"/>
          <w:szCs w:val="22"/>
        </w:rPr>
        <w:t>Lgs</w:t>
      </w:r>
      <w:proofErr w:type="spellEnd"/>
      <w:r w:rsidRPr="001D0D65">
        <w:rPr>
          <w:rFonts w:ascii="Verdana" w:hAnsi="Verdana"/>
          <w:sz w:val="22"/>
          <w:szCs w:val="22"/>
        </w:rPr>
        <w:t>. n. 175/2016 e s.m.i. statuisce che le amministrazioni pubbliche possono detenere, anche in via indiretta, quote nelle società che producono servizi di interesse generale, inclusa la realizzazione e gestione delle reti e degli impianti funzionali per lo svolgimento dei servizi medesimi.</w:t>
      </w:r>
    </w:p>
    <w:p w:rsidR="001D0D65" w:rsidRPr="001D0D65" w:rsidRDefault="001D0D65" w:rsidP="001D0D65">
      <w:pPr>
        <w:contextualSpacing/>
        <w:jc w:val="both"/>
        <w:rPr>
          <w:rFonts w:ascii="Verdana" w:hAnsi="Verdana"/>
          <w:sz w:val="22"/>
          <w:szCs w:val="22"/>
        </w:rPr>
      </w:pPr>
    </w:p>
    <w:p w:rsidR="001D0D65" w:rsidRDefault="001D0D65" w:rsidP="001D0D65">
      <w:pPr>
        <w:contextualSpacing/>
        <w:jc w:val="both"/>
        <w:rPr>
          <w:rFonts w:ascii="Verdana" w:hAnsi="Verdana"/>
          <w:sz w:val="22"/>
          <w:szCs w:val="22"/>
        </w:rPr>
      </w:pPr>
      <w:r w:rsidRPr="001D0D65">
        <w:rPr>
          <w:rFonts w:ascii="Verdana" w:hAnsi="Verdana"/>
          <w:sz w:val="22"/>
          <w:szCs w:val="22"/>
        </w:rPr>
        <w:t xml:space="preserve">Le operazioni di aggregazione tra società che esercitano servizi di interesse generale sono espressamente incentivate dall’art. 20, comma 2, </w:t>
      </w:r>
      <w:proofErr w:type="spellStart"/>
      <w:r w:rsidRPr="001D0D65">
        <w:rPr>
          <w:rFonts w:ascii="Verdana" w:hAnsi="Verdana"/>
          <w:sz w:val="22"/>
          <w:szCs w:val="22"/>
        </w:rPr>
        <w:t>lett</w:t>
      </w:r>
      <w:proofErr w:type="spellEnd"/>
      <w:r w:rsidRPr="001D0D65">
        <w:rPr>
          <w:rFonts w:ascii="Verdana" w:hAnsi="Verdana"/>
          <w:sz w:val="22"/>
          <w:szCs w:val="22"/>
        </w:rPr>
        <w:t xml:space="preserve">. g), del D. </w:t>
      </w:r>
      <w:proofErr w:type="spellStart"/>
      <w:r w:rsidRPr="001D0D65">
        <w:rPr>
          <w:rFonts w:ascii="Verdana" w:hAnsi="Verdana"/>
          <w:sz w:val="22"/>
          <w:szCs w:val="22"/>
        </w:rPr>
        <w:t>Lgs</w:t>
      </w:r>
      <w:proofErr w:type="spellEnd"/>
      <w:r w:rsidRPr="001D0D65">
        <w:rPr>
          <w:rFonts w:ascii="Verdana" w:hAnsi="Verdana"/>
          <w:sz w:val="22"/>
          <w:szCs w:val="22"/>
        </w:rPr>
        <w:t xml:space="preserve">. n. 175/2016 e </w:t>
      </w:r>
      <w:proofErr w:type="spellStart"/>
      <w:r w:rsidRPr="001D0D65">
        <w:rPr>
          <w:rFonts w:ascii="Verdana" w:hAnsi="Verdana"/>
          <w:sz w:val="22"/>
          <w:szCs w:val="22"/>
        </w:rPr>
        <w:t>s.m</w:t>
      </w:r>
      <w:proofErr w:type="spellEnd"/>
      <w:r w:rsidRPr="001D0D65">
        <w:rPr>
          <w:rFonts w:ascii="Verdana" w:hAnsi="Verdana"/>
          <w:sz w:val="22"/>
          <w:szCs w:val="22"/>
        </w:rPr>
        <w:t>. ed i.</w:t>
      </w:r>
    </w:p>
    <w:p w:rsidR="00D57892" w:rsidRPr="001D0D65" w:rsidRDefault="00D57892" w:rsidP="001D0D65">
      <w:pPr>
        <w:contextualSpacing/>
        <w:jc w:val="both"/>
        <w:rPr>
          <w:rFonts w:ascii="Verdana" w:hAnsi="Verdana"/>
          <w:sz w:val="22"/>
          <w:szCs w:val="22"/>
        </w:rPr>
      </w:pPr>
    </w:p>
    <w:p w:rsidR="00D57892" w:rsidRPr="00F83C36" w:rsidRDefault="00D57892" w:rsidP="00D57892">
      <w:pPr>
        <w:contextualSpacing/>
        <w:jc w:val="both"/>
        <w:rPr>
          <w:rFonts w:ascii="Verdana" w:hAnsi="Verdana"/>
          <w:sz w:val="22"/>
          <w:szCs w:val="22"/>
        </w:rPr>
      </w:pPr>
      <w:r w:rsidRPr="00F83C36">
        <w:rPr>
          <w:rFonts w:ascii="Verdana" w:hAnsi="Verdana"/>
          <w:sz w:val="22"/>
          <w:szCs w:val="22"/>
        </w:rPr>
        <w:t>L’aggregazione risulta uno degli obiettivi che il legislatore si è prefisso nel riordinare la materia delle partecipazioni pubbliche. Ciò risulta in particolare:</w:t>
      </w:r>
    </w:p>
    <w:p w:rsidR="00D57892" w:rsidRPr="00F83C36" w:rsidRDefault="00D57892" w:rsidP="0067665F">
      <w:pPr>
        <w:numPr>
          <w:ilvl w:val="0"/>
          <w:numId w:val="28"/>
        </w:numPr>
        <w:ind w:left="426" w:hanging="284"/>
        <w:contextualSpacing/>
        <w:jc w:val="both"/>
        <w:rPr>
          <w:rFonts w:ascii="Verdana" w:hAnsi="Verdana"/>
          <w:sz w:val="22"/>
          <w:szCs w:val="22"/>
        </w:rPr>
      </w:pPr>
      <w:r w:rsidRPr="00F83C36">
        <w:rPr>
          <w:rFonts w:ascii="Verdana" w:hAnsi="Verdana"/>
          <w:sz w:val="22"/>
          <w:szCs w:val="22"/>
        </w:rPr>
        <w:t xml:space="preserve">dall’art. 18, comma 1, </w:t>
      </w:r>
      <w:proofErr w:type="spellStart"/>
      <w:r w:rsidRPr="00F83C36">
        <w:rPr>
          <w:rFonts w:ascii="Verdana" w:hAnsi="Verdana"/>
          <w:sz w:val="22"/>
          <w:szCs w:val="22"/>
        </w:rPr>
        <w:t>lett</w:t>
      </w:r>
      <w:proofErr w:type="spellEnd"/>
      <w:r w:rsidRPr="00F83C36">
        <w:rPr>
          <w:rFonts w:ascii="Verdana" w:hAnsi="Verdana"/>
          <w:sz w:val="22"/>
          <w:szCs w:val="22"/>
        </w:rPr>
        <w:t>. m) n. 3) della legge 7 agosto 2015 n. 124 che t</w:t>
      </w:r>
      <w:r w:rsidRPr="00F83C36">
        <w:rPr>
          <w:rFonts w:ascii="Verdana" w:hAnsi="Verdana"/>
          <w:sz w:val="22"/>
          <w:szCs w:val="22"/>
        </w:rPr>
        <w:t>e</w:t>
      </w:r>
      <w:r w:rsidRPr="00F83C36">
        <w:rPr>
          <w:rFonts w:ascii="Verdana" w:hAnsi="Verdana"/>
          <w:sz w:val="22"/>
          <w:szCs w:val="22"/>
        </w:rPr>
        <w:t>stualmente prevede per le società partecipate dagli enti locali “...</w:t>
      </w:r>
      <w:r w:rsidRPr="00F83C36">
        <w:rPr>
          <w:rFonts w:ascii="Verdana" w:hAnsi="Verdana"/>
          <w:i/>
          <w:sz w:val="22"/>
          <w:szCs w:val="22"/>
        </w:rPr>
        <w:t>la riduzione dell’entità e del numero delle partecipazioni e</w:t>
      </w:r>
      <w:r w:rsidRPr="00F83C36">
        <w:rPr>
          <w:rFonts w:ascii="Verdana" w:hAnsi="Verdana"/>
          <w:sz w:val="22"/>
          <w:szCs w:val="22"/>
        </w:rPr>
        <w:t xml:space="preserve"> </w:t>
      </w:r>
      <w:r w:rsidRPr="00F83C36">
        <w:rPr>
          <w:rFonts w:ascii="Verdana" w:hAnsi="Verdana"/>
          <w:i/>
          <w:sz w:val="22"/>
          <w:szCs w:val="22"/>
        </w:rPr>
        <w:t>l’incentivazione dei processi di a</w:t>
      </w:r>
      <w:r w:rsidRPr="00F83C36">
        <w:rPr>
          <w:rFonts w:ascii="Verdana" w:hAnsi="Verdana"/>
          <w:i/>
          <w:sz w:val="22"/>
          <w:szCs w:val="22"/>
        </w:rPr>
        <w:t>g</w:t>
      </w:r>
      <w:r w:rsidRPr="00F83C36">
        <w:rPr>
          <w:rFonts w:ascii="Verdana" w:hAnsi="Verdana"/>
          <w:i/>
          <w:sz w:val="22"/>
          <w:szCs w:val="22"/>
        </w:rPr>
        <w:t>gregazione</w:t>
      </w:r>
      <w:r w:rsidRPr="00F83C36">
        <w:rPr>
          <w:rFonts w:ascii="Verdana" w:hAnsi="Verdana"/>
          <w:sz w:val="22"/>
          <w:szCs w:val="22"/>
        </w:rPr>
        <w:t xml:space="preserve"> ...”;</w:t>
      </w:r>
    </w:p>
    <w:p w:rsidR="00D57892" w:rsidRPr="00F83C36" w:rsidRDefault="00D57892" w:rsidP="0067665F">
      <w:pPr>
        <w:numPr>
          <w:ilvl w:val="0"/>
          <w:numId w:val="28"/>
        </w:numPr>
        <w:ind w:left="426" w:hanging="284"/>
        <w:contextualSpacing/>
        <w:jc w:val="both"/>
        <w:rPr>
          <w:rFonts w:ascii="Verdana" w:hAnsi="Verdana"/>
          <w:sz w:val="22"/>
          <w:szCs w:val="22"/>
        </w:rPr>
      </w:pPr>
      <w:r w:rsidRPr="00F83C36">
        <w:rPr>
          <w:rFonts w:ascii="Verdana" w:hAnsi="Verdana"/>
          <w:sz w:val="22"/>
          <w:szCs w:val="22"/>
        </w:rPr>
        <w:t>dall’Analisi di Impatto della Regolamentazione (A.I.R.) relativa allo schema di d</w:t>
      </w:r>
      <w:r w:rsidRPr="00F83C36">
        <w:rPr>
          <w:rFonts w:ascii="Verdana" w:hAnsi="Verdana"/>
          <w:sz w:val="22"/>
          <w:szCs w:val="22"/>
        </w:rPr>
        <w:t>e</w:t>
      </w:r>
      <w:r w:rsidRPr="00F83C36">
        <w:rPr>
          <w:rFonts w:ascii="Verdana" w:hAnsi="Verdana"/>
          <w:sz w:val="22"/>
          <w:szCs w:val="22"/>
        </w:rPr>
        <w:t>creto legislativo recante “Testo unico in materia di società a partecipazione pubbl</w:t>
      </w:r>
      <w:r w:rsidRPr="00F83C36">
        <w:rPr>
          <w:rFonts w:ascii="Verdana" w:hAnsi="Verdana"/>
          <w:sz w:val="22"/>
          <w:szCs w:val="22"/>
        </w:rPr>
        <w:t>i</w:t>
      </w:r>
      <w:r w:rsidRPr="00F83C36">
        <w:rPr>
          <w:rFonts w:ascii="Verdana" w:hAnsi="Verdana"/>
          <w:sz w:val="22"/>
          <w:szCs w:val="22"/>
        </w:rPr>
        <w:t xml:space="preserve">ca”, in cui, alla sezione I </w:t>
      </w:r>
      <w:proofErr w:type="spellStart"/>
      <w:r w:rsidRPr="00F83C36">
        <w:rPr>
          <w:rFonts w:ascii="Verdana" w:hAnsi="Verdana"/>
          <w:sz w:val="22"/>
          <w:szCs w:val="22"/>
        </w:rPr>
        <w:t>lett</w:t>
      </w:r>
      <w:proofErr w:type="spellEnd"/>
      <w:r w:rsidRPr="00F83C36">
        <w:rPr>
          <w:rFonts w:ascii="Verdana" w:hAnsi="Verdana"/>
          <w:sz w:val="22"/>
          <w:szCs w:val="22"/>
        </w:rPr>
        <w:t xml:space="preserve">. B), si individuano tra gli obiettivi di breve periodo (operativi) anche il seguente “... </w:t>
      </w:r>
      <w:r w:rsidRPr="00F83C36">
        <w:rPr>
          <w:rFonts w:ascii="Verdana" w:hAnsi="Verdana"/>
          <w:i/>
          <w:sz w:val="22"/>
          <w:szCs w:val="22"/>
        </w:rPr>
        <w:t>ridurre il numero di società pubbliche…</w:t>
      </w:r>
      <w:r w:rsidRPr="00F83C36">
        <w:rPr>
          <w:rFonts w:ascii="Verdana" w:hAnsi="Verdana"/>
          <w:sz w:val="22"/>
          <w:szCs w:val="22"/>
        </w:rPr>
        <w:t>”;</w:t>
      </w:r>
    </w:p>
    <w:p w:rsidR="00D57892" w:rsidRPr="00F83C36" w:rsidRDefault="00D57892" w:rsidP="0067665F">
      <w:pPr>
        <w:numPr>
          <w:ilvl w:val="0"/>
          <w:numId w:val="28"/>
        </w:numPr>
        <w:ind w:left="426" w:hanging="284"/>
        <w:contextualSpacing/>
        <w:jc w:val="both"/>
        <w:rPr>
          <w:rFonts w:ascii="Verdana" w:hAnsi="Verdana"/>
          <w:sz w:val="22"/>
          <w:szCs w:val="22"/>
        </w:rPr>
      </w:pPr>
      <w:r w:rsidRPr="00F83C36">
        <w:rPr>
          <w:rFonts w:ascii="Verdana" w:hAnsi="Verdana"/>
          <w:sz w:val="22"/>
          <w:szCs w:val="22"/>
        </w:rPr>
        <w:t xml:space="preserve">dall’art. 20 del citato </w:t>
      </w:r>
      <w:proofErr w:type="spellStart"/>
      <w:r w:rsidRPr="00F83C36">
        <w:rPr>
          <w:rFonts w:ascii="Verdana" w:hAnsi="Verdana"/>
          <w:sz w:val="22"/>
          <w:szCs w:val="22"/>
        </w:rPr>
        <w:t>D.Lgs.</w:t>
      </w:r>
      <w:proofErr w:type="spellEnd"/>
      <w:r w:rsidRPr="00F83C36">
        <w:rPr>
          <w:rFonts w:ascii="Verdana" w:hAnsi="Verdana"/>
          <w:sz w:val="22"/>
          <w:szCs w:val="22"/>
        </w:rPr>
        <w:t xml:space="preserve"> n. 175/2016 e s.m.i. il quale nel disciplinare il piano di razionalizzazione periodica delle società pubbliche individua tra le azioni di razi</w:t>
      </w:r>
      <w:r w:rsidRPr="00F83C36">
        <w:rPr>
          <w:rFonts w:ascii="Verdana" w:hAnsi="Verdana"/>
          <w:sz w:val="22"/>
          <w:szCs w:val="22"/>
        </w:rPr>
        <w:t>o</w:t>
      </w:r>
      <w:r w:rsidRPr="00F83C36">
        <w:rPr>
          <w:rFonts w:ascii="Verdana" w:hAnsi="Verdana"/>
          <w:sz w:val="22"/>
          <w:szCs w:val="22"/>
        </w:rPr>
        <w:t xml:space="preserve">nalizzazione le aggregazioni (comma 2, </w:t>
      </w:r>
      <w:proofErr w:type="spellStart"/>
      <w:r w:rsidRPr="00F83C36">
        <w:rPr>
          <w:rFonts w:ascii="Verdana" w:hAnsi="Verdana"/>
          <w:sz w:val="22"/>
          <w:szCs w:val="22"/>
        </w:rPr>
        <w:t>lett</w:t>
      </w:r>
      <w:proofErr w:type="spellEnd"/>
      <w:r w:rsidRPr="00F83C36">
        <w:rPr>
          <w:rFonts w:ascii="Verdana" w:hAnsi="Verdana"/>
          <w:sz w:val="22"/>
          <w:szCs w:val="22"/>
        </w:rPr>
        <w:t>. g);</w:t>
      </w:r>
    </w:p>
    <w:p w:rsidR="00C32349" w:rsidRPr="001D0D65" w:rsidRDefault="00C32349" w:rsidP="00316F62">
      <w:pPr>
        <w:autoSpaceDE w:val="0"/>
        <w:autoSpaceDN w:val="0"/>
        <w:adjustRightInd w:val="0"/>
        <w:jc w:val="both"/>
        <w:rPr>
          <w:rFonts w:ascii="Verdana" w:hAnsi="Verdana"/>
          <w:bCs/>
          <w:sz w:val="22"/>
          <w:szCs w:val="22"/>
        </w:rPr>
      </w:pPr>
    </w:p>
    <w:p w:rsidR="00E952A5" w:rsidRPr="00E952A5" w:rsidRDefault="00E952A5" w:rsidP="00E952A5">
      <w:pPr>
        <w:contextualSpacing/>
        <w:jc w:val="both"/>
        <w:rPr>
          <w:rFonts w:ascii="Verdana" w:hAnsi="Verdana"/>
          <w:sz w:val="22"/>
          <w:szCs w:val="22"/>
        </w:rPr>
      </w:pPr>
      <w:r>
        <w:rPr>
          <w:rFonts w:ascii="Verdana" w:hAnsi="Verdana"/>
          <w:sz w:val="22"/>
          <w:szCs w:val="22"/>
        </w:rPr>
        <w:t>L</w:t>
      </w:r>
      <w:r w:rsidRPr="00E952A5">
        <w:rPr>
          <w:rFonts w:ascii="Verdana" w:hAnsi="Verdana"/>
          <w:sz w:val="22"/>
          <w:szCs w:val="22"/>
        </w:rPr>
        <w:t xml:space="preserve">’art. 42, comma 2, </w:t>
      </w:r>
      <w:proofErr w:type="spellStart"/>
      <w:r w:rsidRPr="00E952A5">
        <w:rPr>
          <w:rFonts w:ascii="Verdana" w:hAnsi="Verdana"/>
          <w:sz w:val="22"/>
          <w:szCs w:val="22"/>
        </w:rPr>
        <w:t>lett</w:t>
      </w:r>
      <w:proofErr w:type="spellEnd"/>
      <w:r w:rsidRPr="00E952A5">
        <w:rPr>
          <w:rFonts w:ascii="Verdana" w:hAnsi="Verdana"/>
          <w:sz w:val="22"/>
          <w:szCs w:val="22"/>
        </w:rPr>
        <w:t xml:space="preserve">. e) del </w:t>
      </w:r>
      <w:proofErr w:type="spellStart"/>
      <w:r w:rsidRPr="00E952A5">
        <w:rPr>
          <w:rFonts w:ascii="Verdana" w:hAnsi="Verdana"/>
          <w:sz w:val="22"/>
          <w:szCs w:val="22"/>
        </w:rPr>
        <w:t>D.Lgs.</w:t>
      </w:r>
      <w:proofErr w:type="spellEnd"/>
      <w:r w:rsidRPr="00E952A5">
        <w:rPr>
          <w:rFonts w:ascii="Verdana" w:hAnsi="Verdana"/>
          <w:sz w:val="22"/>
          <w:szCs w:val="22"/>
        </w:rPr>
        <w:t xml:space="preserve"> n. 267/2000 (Testo unico delle leggi sull’ordinamento degli enti locali) attribuisc</w:t>
      </w:r>
      <w:r>
        <w:rPr>
          <w:rFonts w:ascii="Verdana" w:hAnsi="Verdana"/>
          <w:sz w:val="22"/>
          <w:szCs w:val="22"/>
        </w:rPr>
        <w:t>e al Consiglio c</w:t>
      </w:r>
      <w:r w:rsidRPr="00E952A5">
        <w:rPr>
          <w:rFonts w:ascii="Verdana" w:hAnsi="Verdana"/>
          <w:sz w:val="22"/>
          <w:szCs w:val="22"/>
        </w:rPr>
        <w:t>omunale</w:t>
      </w:r>
      <w:r>
        <w:rPr>
          <w:rFonts w:ascii="Verdana" w:hAnsi="Verdana"/>
          <w:sz w:val="22"/>
          <w:szCs w:val="22"/>
        </w:rPr>
        <w:t xml:space="preserve"> la</w:t>
      </w:r>
      <w:r w:rsidRPr="00E952A5">
        <w:rPr>
          <w:rFonts w:ascii="Verdana" w:hAnsi="Verdana"/>
          <w:sz w:val="22"/>
          <w:szCs w:val="22"/>
        </w:rPr>
        <w:t xml:space="preserve"> competenza in materia di partecipazione dell’ente locale a società di capitali</w:t>
      </w:r>
      <w:r>
        <w:rPr>
          <w:rFonts w:ascii="Verdana" w:hAnsi="Verdana"/>
          <w:sz w:val="22"/>
          <w:szCs w:val="22"/>
        </w:rPr>
        <w:t>.</w:t>
      </w:r>
    </w:p>
    <w:p w:rsidR="00C32349" w:rsidRPr="001D0D65" w:rsidRDefault="00C32349" w:rsidP="00C32349">
      <w:pPr>
        <w:pStyle w:val="Titolo2"/>
        <w:tabs>
          <w:tab w:val="clear" w:pos="1134"/>
          <w:tab w:val="left" w:pos="709"/>
        </w:tabs>
        <w:ind w:left="709" w:hanging="709"/>
        <w:jc w:val="both"/>
        <w:rPr>
          <w:rFonts w:ascii="Verdana" w:hAnsi="Verdana"/>
          <w:bCs/>
          <w:sz w:val="22"/>
          <w:szCs w:val="22"/>
          <w:u w:val="none"/>
        </w:rPr>
      </w:pPr>
    </w:p>
    <w:p w:rsidR="00D57892" w:rsidRDefault="00D57892" w:rsidP="00C32349">
      <w:pPr>
        <w:pStyle w:val="Titolo2"/>
        <w:tabs>
          <w:tab w:val="clear" w:pos="1134"/>
          <w:tab w:val="left" w:pos="709"/>
        </w:tabs>
        <w:ind w:left="709" w:hanging="709"/>
        <w:jc w:val="both"/>
        <w:rPr>
          <w:rFonts w:ascii="Verdana" w:hAnsi="Verdana"/>
          <w:bCs/>
          <w:sz w:val="22"/>
          <w:szCs w:val="22"/>
          <w:u w:val="none"/>
        </w:rPr>
      </w:pPr>
    </w:p>
    <w:p w:rsidR="00C32349" w:rsidRPr="001D0D65" w:rsidRDefault="006736EE" w:rsidP="00C32349">
      <w:pPr>
        <w:pStyle w:val="Titolo2"/>
        <w:tabs>
          <w:tab w:val="clear" w:pos="1134"/>
          <w:tab w:val="left" w:pos="709"/>
        </w:tabs>
        <w:ind w:left="709" w:hanging="709"/>
        <w:jc w:val="both"/>
        <w:rPr>
          <w:rFonts w:ascii="Verdana" w:hAnsi="Verdana"/>
          <w:bCs/>
          <w:sz w:val="22"/>
          <w:szCs w:val="22"/>
          <w:u w:val="none"/>
        </w:rPr>
      </w:pPr>
      <w:r>
        <w:rPr>
          <w:rFonts w:ascii="Verdana" w:hAnsi="Verdana"/>
          <w:bCs/>
          <w:sz w:val="22"/>
          <w:szCs w:val="22"/>
          <w:u w:val="none"/>
        </w:rPr>
        <w:t>3</w:t>
      </w:r>
      <w:r w:rsidR="00C32349" w:rsidRPr="001D0D65">
        <w:rPr>
          <w:rFonts w:ascii="Verdana" w:hAnsi="Verdana"/>
          <w:bCs/>
          <w:sz w:val="22"/>
          <w:szCs w:val="22"/>
          <w:u w:val="none"/>
        </w:rPr>
        <w:t>. PRECEDENTI</w:t>
      </w:r>
    </w:p>
    <w:p w:rsidR="00C32349" w:rsidRDefault="00C32349" w:rsidP="00316F62">
      <w:pPr>
        <w:autoSpaceDE w:val="0"/>
        <w:autoSpaceDN w:val="0"/>
        <w:adjustRightInd w:val="0"/>
        <w:jc w:val="both"/>
        <w:rPr>
          <w:rFonts w:ascii="Verdana" w:hAnsi="Verdana"/>
          <w:bCs/>
          <w:sz w:val="22"/>
          <w:szCs w:val="22"/>
        </w:rPr>
      </w:pPr>
    </w:p>
    <w:p w:rsidR="001B60D2" w:rsidRPr="006736EE" w:rsidRDefault="001B60D2" w:rsidP="001B60D2">
      <w:pPr>
        <w:jc w:val="both"/>
        <w:rPr>
          <w:rFonts w:ascii="Verdana" w:hAnsi="Verdana"/>
          <w:sz w:val="22"/>
          <w:szCs w:val="22"/>
        </w:rPr>
      </w:pPr>
      <w:r>
        <w:rPr>
          <w:rFonts w:ascii="Verdana" w:hAnsi="Verdana"/>
          <w:sz w:val="22"/>
          <w:szCs w:val="22"/>
        </w:rPr>
        <w:t>Nell</w:t>
      </w:r>
      <w:r w:rsidRPr="006736EE">
        <w:rPr>
          <w:rFonts w:ascii="Verdana" w:hAnsi="Verdana"/>
          <w:sz w:val="22"/>
          <w:szCs w:val="22"/>
        </w:rPr>
        <w:t xml:space="preserve">a ricognizione </w:t>
      </w:r>
      <w:r>
        <w:rPr>
          <w:rFonts w:ascii="Verdana" w:hAnsi="Verdana"/>
          <w:sz w:val="22"/>
          <w:szCs w:val="22"/>
        </w:rPr>
        <w:t xml:space="preserve">straordinaria </w:t>
      </w:r>
      <w:r w:rsidRPr="006736EE">
        <w:rPr>
          <w:rFonts w:ascii="Verdana" w:hAnsi="Verdana"/>
          <w:sz w:val="22"/>
          <w:szCs w:val="22"/>
        </w:rPr>
        <w:t xml:space="preserve">di tutte le partecipazioni possedute dal Comune alla data del </w:t>
      </w:r>
      <w:r w:rsidR="00DE5079">
        <w:rPr>
          <w:rFonts w:ascii="Verdana" w:hAnsi="Verdana"/>
          <w:sz w:val="22"/>
          <w:szCs w:val="22"/>
        </w:rPr>
        <w:t>[</w:t>
      </w:r>
      <w:r w:rsidR="00DE5079">
        <w:rPr>
          <w:rFonts w:ascii="Arial" w:eastAsia="Times New Roman" w:hAnsi="Arial" w:cs="Arial" w:hint="eastAsia"/>
          <w:sz w:val="22"/>
          <w:szCs w:val="22"/>
          <w:lang w:eastAsia="ja-JP"/>
        </w:rPr>
        <w:sym w:font="Wingdings" w:char="F06C"/>
      </w:r>
      <w:r w:rsidR="00DE5079">
        <w:rPr>
          <w:rFonts w:ascii="Arial" w:eastAsia="Times New Roman" w:hAnsi="Arial" w:cs="Arial"/>
          <w:sz w:val="22"/>
          <w:szCs w:val="22"/>
          <w:lang w:eastAsia="ja-JP"/>
        </w:rPr>
        <w:t xml:space="preserve">] </w:t>
      </w:r>
      <w:r>
        <w:rPr>
          <w:rFonts w:ascii="Verdana" w:hAnsi="Verdana"/>
          <w:sz w:val="22"/>
          <w:szCs w:val="22"/>
        </w:rPr>
        <w:t xml:space="preserve">– approvata dal Consiglio comunale, ai sensi dell’art. 24 del </w:t>
      </w:r>
      <w:proofErr w:type="spellStart"/>
      <w:r>
        <w:rPr>
          <w:rFonts w:ascii="Verdana" w:hAnsi="Verdana"/>
          <w:sz w:val="22"/>
          <w:szCs w:val="22"/>
        </w:rPr>
        <w:t>D.Lgs.</w:t>
      </w:r>
      <w:proofErr w:type="spellEnd"/>
      <w:r>
        <w:rPr>
          <w:rFonts w:ascii="Verdana" w:hAnsi="Verdana"/>
          <w:sz w:val="22"/>
          <w:szCs w:val="22"/>
        </w:rPr>
        <w:t xml:space="preserve"> 175/2016 ed </w:t>
      </w:r>
      <w:proofErr w:type="spellStart"/>
      <w:r>
        <w:rPr>
          <w:rFonts w:ascii="Verdana" w:hAnsi="Verdana"/>
          <w:sz w:val="22"/>
          <w:szCs w:val="22"/>
        </w:rPr>
        <w:t>s.m</w:t>
      </w:r>
      <w:proofErr w:type="spellEnd"/>
      <w:r>
        <w:rPr>
          <w:rFonts w:ascii="Verdana" w:hAnsi="Verdana"/>
          <w:sz w:val="22"/>
          <w:szCs w:val="22"/>
        </w:rPr>
        <w:t xml:space="preserve">. ed i., con deliberazione consiliare </w:t>
      </w:r>
      <w:r w:rsidRPr="006736EE">
        <w:rPr>
          <w:rFonts w:ascii="Verdana" w:hAnsi="Verdana"/>
          <w:sz w:val="22"/>
          <w:szCs w:val="22"/>
        </w:rPr>
        <w:t xml:space="preserve">n. </w:t>
      </w:r>
      <w:r w:rsidR="00DE5079">
        <w:rPr>
          <w:rFonts w:ascii="Verdana" w:hAnsi="Verdana"/>
          <w:sz w:val="22"/>
          <w:szCs w:val="22"/>
        </w:rPr>
        <w:t>[</w:t>
      </w:r>
      <w:r w:rsidR="00DE5079">
        <w:rPr>
          <w:rFonts w:ascii="Arial" w:eastAsia="Times New Roman" w:hAnsi="Arial" w:cs="Arial" w:hint="eastAsia"/>
          <w:sz w:val="22"/>
          <w:szCs w:val="22"/>
          <w:lang w:eastAsia="ja-JP"/>
        </w:rPr>
        <w:sym w:font="Wingdings" w:char="F06C"/>
      </w:r>
      <w:r w:rsidR="00DE5079">
        <w:rPr>
          <w:rFonts w:ascii="Arial" w:eastAsia="Times New Roman" w:hAnsi="Arial" w:cs="Arial"/>
          <w:sz w:val="22"/>
          <w:szCs w:val="22"/>
          <w:lang w:eastAsia="ja-JP"/>
        </w:rPr>
        <w:t>]</w:t>
      </w:r>
      <w:r>
        <w:rPr>
          <w:rFonts w:ascii="Verdana" w:hAnsi="Verdana"/>
          <w:sz w:val="22"/>
          <w:szCs w:val="22"/>
        </w:rPr>
        <w:t xml:space="preserve">, esecutiva ai sensi di legge – Lario Reti Holding Spa, coinvolta nel progetto di fusione sopra descritto, figura tra le società </w:t>
      </w:r>
      <w:r w:rsidRPr="006736EE">
        <w:rPr>
          <w:rFonts w:ascii="Verdana" w:hAnsi="Verdana"/>
          <w:sz w:val="22"/>
          <w:szCs w:val="22"/>
        </w:rPr>
        <w:t>da mantenere in quanto rientrant</w:t>
      </w:r>
      <w:r>
        <w:rPr>
          <w:rFonts w:ascii="Verdana" w:hAnsi="Verdana"/>
          <w:sz w:val="22"/>
          <w:szCs w:val="22"/>
        </w:rPr>
        <w:t>e</w:t>
      </w:r>
      <w:r w:rsidRPr="006736EE">
        <w:rPr>
          <w:rFonts w:ascii="Verdana" w:hAnsi="Verdana"/>
          <w:sz w:val="22"/>
          <w:szCs w:val="22"/>
        </w:rPr>
        <w:t xml:space="preserve"> tra le categorie di cui all’art. 4 del </w:t>
      </w:r>
      <w:r>
        <w:rPr>
          <w:rFonts w:ascii="Verdana" w:hAnsi="Verdana"/>
          <w:sz w:val="22"/>
          <w:szCs w:val="22"/>
        </w:rPr>
        <w:t xml:space="preserve">Testo Unico in materia di società partecipate </w:t>
      </w:r>
      <w:r w:rsidRPr="0067665F">
        <w:rPr>
          <w:rFonts w:ascii="Verdana" w:hAnsi="Verdana"/>
          <w:sz w:val="22"/>
          <w:szCs w:val="22"/>
        </w:rPr>
        <w:t>e, con riguardo allo specifico settore energet</w:t>
      </w:r>
      <w:r w:rsidRPr="0067665F">
        <w:rPr>
          <w:rFonts w:ascii="Verdana" w:hAnsi="Verdana"/>
          <w:sz w:val="22"/>
          <w:szCs w:val="22"/>
        </w:rPr>
        <w:t>i</w:t>
      </w:r>
      <w:r w:rsidRPr="0067665F">
        <w:rPr>
          <w:rFonts w:ascii="Verdana" w:hAnsi="Verdana"/>
          <w:sz w:val="22"/>
          <w:szCs w:val="22"/>
        </w:rPr>
        <w:t>co, è previsto un progetto di sviluppo attraverso la crescita tramite la ricerca di par</w:t>
      </w:r>
      <w:r w:rsidRPr="0067665F">
        <w:rPr>
          <w:rFonts w:ascii="Verdana" w:hAnsi="Verdana"/>
          <w:sz w:val="22"/>
          <w:szCs w:val="22"/>
        </w:rPr>
        <w:t>t</w:t>
      </w:r>
      <w:r w:rsidRPr="0067665F">
        <w:rPr>
          <w:rFonts w:ascii="Verdana" w:hAnsi="Verdana"/>
          <w:sz w:val="22"/>
          <w:szCs w:val="22"/>
        </w:rPr>
        <w:t>ner.</w:t>
      </w:r>
    </w:p>
    <w:p w:rsidR="001B60D2" w:rsidRPr="001D0D65" w:rsidRDefault="001B60D2" w:rsidP="001B60D2">
      <w:pPr>
        <w:autoSpaceDE w:val="0"/>
        <w:autoSpaceDN w:val="0"/>
        <w:adjustRightInd w:val="0"/>
        <w:jc w:val="both"/>
        <w:rPr>
          <w:rFonts w:ascii="Verdana" w:hAnsi="Verdana"/>
          <w:bCs/>
          <w:sz w:val="22"/>
          <w:szCs w:val="22"/>
        </w:rPr>
      </w:pPr>
    </w:p>
    <w:p w:rsidR="008307B0" w:rsidRDefault="008307B0" w:rsidP="008307B0">
      <w:pPr>
        <w:pStyle w:val="Default"/>
        <w:jc w:val="both"/>
        <w:rPr>
          <w:rFonts w:ascii="Verdana" w:hAnsi="Verdana"/>
          <w:sz w:val="22"/>
          <w:szCs w:val="22"/>
        </w:rPr>
      </w:pPr>
      <w:r>
        <w:rPr>
          <w:rFonts w:ascii="Verdana" w:hAnsi="Verdana"/>
          <w:sz w:val="22"/>
          <w:szCs w:val="22"/>
        </w:rPr>
        <w:t xml:space="preserve">Il Consiglio comunale, con deliberazione n. </w:t>
      </w:r>
      <w:r w:rsidR="00DE5079">
        <w:rPr>
          <w:rFonts w:ascii="Verdana" w:hAnsi="Verdana"/>
          <w:sz w:val="22"/>
          <w:szCs w:val="22"/>
        </w:rPr>
        <w:t>[</w:t>
      </w:r>
      <w:r w:rsidR="00DE5079">
        <w:rPr>
          <w:rFonts w:eastAsia="Times New Roman" w:hint="eastAsia"/>
          <w:sz w:val="22"/>
          <w:szCs w:val="22"/>
          <w:lang w:eastAsia="ja-JP"/>
        </w:rPr>
        <w:sym w:font="Wingdings" w:char="F06C"/>
      </w:r>
      <w:r w:rsidR="00DE5079">
        <w:rPr>
          <w:rFonts w:eastAsia="Times New Roman"/>
          <w:sz w:val="22"/>
          <w:szCs w:val="22"/>
          <w:lang w:eastAsia="ja-JP"/>
        </w:rPr>
        <w:t>]</w:t>
      </w:r>
      <w:r>
        <w:rPr>
          <w:rFonts w:ascii="Verdana" w:hAnsi="Verdana"/>
          <w:sz w:val="22"/>
          <w:szCs w:val="22"/>
        </w:rPr>
        <w:t>, esecutiva, ha approvato le “Linee str</w:t>
      </w:r>
      <w:r>
        <w:rPr>
          <w:rFonts w:ascii="Verdana" w:hAnsi="Verdana"/>
          <w:sz w:val="22"/>
          <w:szCs w:val="22"/>
        </w:rPr>
        <w:t>a</w:t>
      </w:r>
      <w:r>
        <w:rPr>
          <w:rFonts w:ascii="Verdana" w:hAnsi="Verdana"/>
          <w:sz w:val="22"/>
          <w:szCs w:val="22"/>
        </w:rPr>
        <w:t>tegiche per l’ampliamento, il potenziamento e lo sviluppo delle società del gruppo L</w:t>
      </w:r>
      <w:r>
        <w:rPr>
          <w:rFonts w:ascii="Verdana" w:hAnsi="Verdana"/>
          <w:sz w:val="22"/>
          <w:szCs w:val="22"/>
        </w:rPr>
        <w:t>a</w:t>
      </w:r>
      <w:r>
        <w:rPr>
          <w:rFonts w:ascii="Verdana" w:hAnsi="Verdana"/>
          <w:sz w:val="22"/>
          <w:szCs w:val="22"/>
        </w:rPr>
        <w:t xml:space="preserve">rio Reti Holding nel settore del gas e dell’energia elettrica” e, con deliberazione n. </w:t>
      </w:r>
      <w:r w:rsidR="00DE5079">
        <w:rPr>
          <w:rFonts w:ascii="Verdana" w:hAnsi="Verdana"/>
          <w:sz w:val="22"/>
          <w:szCs w:val="22"/>
        </w:rPr>
        <w:t>[</w:t>
      </w:r>
      <w:r w:rsidR="00DE5079">
        <w:rPr>
          <w:rFonts w:eastAsia="Times New Roman" w:hint="eastAsia"/>
          <w:sz w:val="22"/>
          <w:szCs w:val="22"/>
          <w:lang w:eastAsia="ja-JP"/>
        </w:rPr>
        <w:sym w:font="Wingdings" w:char="F06C"/>
      </w:r>
      <w:r w:rsidR="00DE5079">
        <w:rPr>
          <w:rFonts w:eastAsia="Times New Roman"/>
          <w:sz w:val="22"/>
          <w:szCs w:val="22"/>
          <w:lang w:eastAsia="ja-JP"/>
        </w:rPr>
        <w:t xml:space="preserve">] del </w:t>
      </w:r>
      <w:r w:rsidR="00DE5079">
        <w:rPr>
          <w:rFonts w:ascii="Verdana" w:hAnsi="Verdana"/>
          <w:sz w:val="22"/>
          <w:szCs w:val="22"/>
        </w:rPr>
        <w:t>[</w:t>
      </w:r>
      <w:r w:rsidR="00DE5079">
        <w:rPr>
          <w:rFonts w:eastAsia="Times New Roman" w:hint="eastAsia"/>
          <w:sz w:val="22"/>
          <w:szCs w:val="22"/>
          <w:lang w:eastAsia="ja-JP"/>
        </w:rPr>
        <w:sym w:font="Wingdings" w:char="F06C"/>
      </w:r>
      <w:r w:rsidR="00DE5079">
        <w:rPr>
          <w:rFonts w:eastAsia="Times New Roman"/>
          <w:sz w:val="22"/>
          <w:szCs w:val="22"/>
          <w:lang w:eastAsia="ja-JP"/>
        </w:rPr>
        <w:t>]</w:t>
      </w:r>
      <w:r>
        <w:rPr>
          <w:rFonts w:ascii="Verdana" w:hAnsi="Verdana"/>
          <w:sz w:val="22"/>
          <w:szCs w:val="22"/>
        </w:rPr>
        <w:t>,</w:t>
      </w:r>
      <w:r w:rsidR="008F6246">
        <w:rPr>
          <w:rFonts w:ascii="Verdana" w:hAnsi="Verdana"/>
          <w:sz w:val="22"/>
          <w:szCs w:val="22"/>
        </w:rPr>
        <w:t xml:space="preserve"> esecutiva,</w:t>
      </w:r>
      <w:r>
        <w:rPr>
          <w:rFonts w:ascii="Verdana" w:hAnsi="Verdana"/>
          <w:sz w:val="22"/>
          <w:szCs w:val="22"/>
        </w:rPr>
        <w:t xml:space="preserve"> ha approvato le “Linee di indirizzo strategiche per l’aggregazione di società nel campo dell’energia elettrica e del gas</w:t>
      </w:r>
      <w:r w:rsidRPr="0067665F">
        <w:rPr>
          <w:rFonts w:ascii="Verdana" w:hAnsi="Verdana"/>
          <w:sz w:val="22"/>
          <w:szCs w:val="22"/>
        </w:rPr>
        <w:t>”</w:t>
      </w:r>
      <w:r w:rsidR="009E18DE" w:rsidRPr="0067665F">
        <w:rPr>
          <w:rFonts w:ascii="Verdana" w:hAnsi="Verdana"/>
          <w:sz w:val="22"/>
          <w:szCs w:val="22"/>
        </w:rPr>
        <w:t xml:space="preserve"> (</w:t>
      </w:r>
      <w:r w:rsidR="009E18DE" w:rsidRPr="0067665F">
        <w:rPr>
          <w:rFonts w:ascii="Verdana" w:hAnsi="Verdana"/>
          <w:b/>
          <w:sz w:val="22"/>
          <w:szCs w:val="22"/>
        </w:rPr>
        <w:t>Il Progetto Preliminare</w:t>
      </w:r>
      <w:r w:rsidR="009E18DE" w:rsidRPr="0067665F">
        <w:rPr>
          <w:rFonts w:ascii="Verdana" w:hAnsi="Verdana"/>
          <w:sz w:val="22"/>
          <w:szCs w:val="22"/>
        </w:rPr>
        <w:t>).</w:t>
      </w:r>
      <w:r w:rsidR="00CD4892">
        <w:rPr>
          <w:rFonts w:ascii="Verdana" w:hAnsi="Verdana"/>
          <w:sz w:val="22"/>
          <w:szCs w:val="22"/>
        </w:rPr>
        <w:t xml:space="preserve"> [DA INDICARE NEL CASO IL COMUNE ABBIA ADOTTATO DELIBERA DI INDIRIZZO </w:t>
      </w:r>
      <w:r w:rsidR="00CD4892">
        <w:rPr>
          <w:rFonts w:eastAsia="Times New Roman" w:hint="eastAsia"/>
          <w:sz w:val="22"/>
          <w:szCs w:val="22"/>
          <w:lang w:eastAsia="ja-JP"/>
        </w:rPr>
        <w:sym w:font="Wingdings" w:char="F06C"/>
      </w:r>
      <w:r w:rsidR="00CD4892">
        <w:rPr>
          <w:rFonts w:eastAsia="Times New Roman"/>
          <w:sz w:val="22"/>
          <w:szCs w:val="22"/>
          <w:lang w:eastAsia="ja-JP"/>
        </w:rPr>
        <w:t>]</w:t>
      </w:r>
    </w:p>
    <w:p w:rsidR="006736EE" w:rsidRPr="006736EE" w:rsidRDefault="006736EE" w:rsidP="006736EE">
      <w:pPr>
        <w:rPr>
          <w:rFonts w:ascii="Verdana" w:hAnsi="Verdana"/>
          <w:sz w:val="22"/>
          <w:szCs w:val="22"/>
        </w:rPr>
      </w:pPr>
    </w:p>
    <w:p w:rsidR="00455BD1" w:rsidRPr="0067665F" w:rsidRDefault="001B60D2" w:rsidP="0067665F">
      <w:pPr>
        <w:jc w:val="both"/>
      </w:pPr>
      <w:r w:rsidRPr="0067665F">
        <w:rPr>
          <w:rFonts w:ascii="Verdana" w:hAnsi="Verdana"/>
          <w:sz w:val="22"/>
          <w:szCs w:val="22"/>
        </w:rPr>
        <w:t>Con la sopracitata deliberazione consiliare sono stati formulati specifici indirizzi agli amministratori di LRH per lo sviluppo dei contenuti definitivi del citato Progetto Prel</w:t>
      </w:r>
      <w:r w:rsidRPr="0067665F">
        <w:rPr>
          <w:rFonts w:ascii="Verdana" w:hAnsi="Verdana"/>
          <w:sz w:val="22"/>
          <w:szCs w:val="22"/>
        </w:rPr>
        <w:t>i</w:t>
      </w:r>
      <w:r w:rsidRPr="0067665F">
        <w:rPr>
          <w:rFonts w:ascii="Verdana" w:hAnsi="Verdana"/>
          <w:sz w:val="22"/>
          <w:szCs w:val="22"/>
        </w:rPr>
        <w:t>minare che, congiuntamente alle analoghe indicazioni giunte dal Consigli Comunali degli altri soci di LRH, hanno trovato compiuta espressione  nella delibera dell’assemblea ordinaria del 15 gennaio 2018.</w:t>
      </w:r>
      <w:r w:rsidR="00CD4892">
        <w:rPr>
          <w:rFonts w:ascii="Verdana" w:hAnsi="Verdana"/>
          <w:sz w:val="22"/>
          <w:szCs w:val="22"/>
        </w:rPr>
        <w:t xml:space="preserve"> </w:t>
      </w:r>
    </w:p>
    <w:p w:rsidR="00455BD1" w:rsidRPr="0067665F" w:rsidRDefault="00455BD1" w:rsidP="006736EE">
      <w:pPr>
        <w:contextualSpacing/>
        <w:jc w:val="both"/>
        <w:rPr>
          <w:rFonts w:ascii="Verdana" w:hAnsi="Verdana"/>
          <w:sz w:val="22"/>
          <w:szCs w:val="22"/>
        </w:rPr>
      </w:pPr>
    </w:p>
    <w:p w:rsidR="001B60D2" w:rsidRPr="0067665F" w:rsidRDefault="001B60D2" w:rsidP="001B60D2">
      <w:pPr>
        <w:contextualSpacing/>
        <w:jc w:val="both"/>
        <w:rPr>
          <w:rFonts w:ascii="Verdana" w:hAnsi="Verdana"/>
          <w:i/>
          <w:sz w:val="22"/>
          <w:szCs w:val="22"/>
        </w:rPr>
      </w:pPr>
      <w:r w:rsidRPr="0067665F">
        <w:rPr>
          <w:rFonts w:ascii="Verdana" w:hAnsi="Verdana"/>
          <w:sz w:val="22"/>
          <w:szCs w:val="22"/>
        </w:rPr>
        <w:t>In particolare quindi nell’assemblea del 15 gennaio u.s. è stato formula lo specifico i</w:t>
      </w:r>
      <w:r w:rsidRPr="0067665F">
        <w:rPr>
          <w:rFonts w:ascii="Verdana" w:hAnsi="Verdana"/>
          <w:sz w:val="22"/>
          <w:szCs w:val="22"/>
        </w:rPr>
        <w:t>n</w:t>
      </w:r>
      <w:r w:rsidRPr="0067665F">
        <w:rPr>
          <w:rFonts w:ascii="Verdana" w:hAnsi="Verdana"/>
          <w:sz w:val="22"/>
          <w:szCs w:val="22"/>
        </w:rPr>
        <w:t>dirizzo affinché gli amministratori di LRH “</w:t>
      </w:r>
      <w:r w:rsidRPr="0067665F">
        <w:rPr>
          <w:rFonts w:ascii="Verdana" w:hAnsi="Verdana"/>
          <w:i/>
          <w:sz w:val="22"/>
          <w:szCs w:val="22"/>
        </w:rPr>
        <w:t xml:space="preserve">sviluppino i contenuti definitivi del Progetto di Aggregazione e predispongano il progetto di fusione per quanto di competenza delle società partecipate da LRH, dopo aver approfondito gli scenari del progetto industriale in particolare riguardo gli scenari di minima e di massimo risultato riguardo lo sviluppo delle attività della costituenda società; adottando tutti i necessari atti prodromici – ma non vincolanti – al perfezionamento dello stesso (quali a mero titolo esemplificativo, la stipula di accordi tra le parti coinvolte nell’operazione tesi a regolamentare la fase </w:t>
      </w:r>
      <w:proofErr w:type="spellStart"/>
      <w:r w:rsidRPr="0067665F">
        <w:rPr>
          <w:rFonts w:ascii="Verdana" w:hAnsi="Verdana"/>
          <w:i/>
          <w:sz w:val="22"/>
          <w:szCs w:val="22"/>
        </w:rPr>
        <w:t>pre</w:t>
      </w:r>
      <w:proofErr w:type="spellEnd"/>
      <w:r w:rsidRPr="0067665F">
        <w:rPr>
          <w:rFonts w:ascii="Verdana" w:hAnsi="Verdana"/>
          <w:i/>
          <w:sz w:val="22"/>
          <w:szCs w:val="22"/>
        </w:rPr>
        <w:t xml:space="preserve">-fusione, la richiesta di nomina del perito al tribunale, </w:t>
      </w:r>
      <w:proofErr w:type="spellStart"/>
      <w:r w:rsidRPr="0067665F">
        <w:rPr>
          <w:rFonts w:ascii="Verdana" w:hAnsi="Verdana"/>
          <w:i/>
          <w:sz w:val="22"/>
          <w:szCs w:val="22"/>
        </w:rPr>
        <w:t>etc</w:t>
      </w:r>
      <w:proofErr w:type="spellEnd"/>
      <w:r w:rsidRPr="0067665F">
        <w:rPr>
          <w:rFonts w:ascii="Verdana" w:hAnsi="Verdana"/>
          <w:i/>
          <w:sz w:val="22"/>
          <w:szCs w:val="22"/>
        </w:rPr>
        <w:t xml:space="preserve">…). Detti contenuti definitivi </w:t>
      </w:r>
      <w:r w:rsidR="00DE5079">
        <w:rPr>
          <w:rFonts w:ascii="Verdana" w:hAnsi="Verdana"/>
          <w:i/>
          <w:sz w:val="22"/>
          <w:szCs w:val="22"/>
        </w:rPr>
        <w:t xml:space="preserve">confermano </w:t>
      </w:r>
      <w:r w:rsidRPr="0067665F">
        <w:rPr>
          <w:rFonts w:ascii="Verdana" w:hAnsi="Verdana"/>
          <w:i/>
          <w:sz w:val="22"/>
          <w:szCs w:val="22"/>
        </w:rPr>
        <w:t xml:space="preserve">le linee indicate nel Progetto Preliminare con particolare riguardo: </w:t>
      </w:r>
    </w:p>
    <w:p w:rsidR="001B60D2" w:rsidRPr="0067665F" w:rsidRDefault="001B60D2" w:rsidP="001B60D2">
      <w:pPr>
        <w:contextualSpacing/>
        <w:jc w:val="both"/>
        <w:rPr>
          <w:rFonts w:ascii="Verdana" w:hAnsi="Verdana"/>
          <w:i/>
          <w:sz w:val="22"/>
          <w:szCs w:val="22"/>
        </w:rPr>
      </w:pPr>
      <w:r w:rsidRPr="0067665F">
        <w:rPr>
          <w:rFonts w:ascii="Verdana" w:hAnsi="Verdana"/>
          <w:i/>
          <w:sz w:val="22"/>
          <w:szCs w:val="22"/>
        </w:rPr>
        <w:t>•</w:t>
      </w:r>
      <w:r w:rsidRPr="0067665F">
        <w:rPr>
          <w:rFonts w:ascii="Verdana" w:hAnsi="Verdana"/>
          <w:i/>
          <w:sz w:val="22"/>
          <w:szCs w:val="22"/>
        </w:rPr>
        <w:tab/>
        <w:t>alla natura dell’operatore multi-utility che nascerà dall’aggregazione in termini di maggioranza pubblica del capitale, con l‘impegno del socio industriale -  in vigenza dei patti parasociali - a non salire ulteriormente oltre la quota iniziale e il manten</w:t>
      </w:r>
      <w:r w:rsidRPr="0067665F">
        <w:rPr>
          <w:rFonts w:ascii="Verdana" w:hAnsi="Verdana"/>
          <w:i/>
          <w:sz w:val="22"/>
          <w:szCs w:val="22"/>
        </w:rPr>
        <w:t>i</w:t>
      </w:r>
      <w:r w:rsidRPr="0067665F">
        <w:rPr>
          <w:rFonts w:ascii="Verdana" w:hAnsi="Verdana"/>
          <w:i/>
          <w:sz w:val="22"/>
          <w:szCs w:val="22"/>
        </w:rPr>
        <w:t>mento dello status di quotata;</w:t>
      </w:r>
    </w:p>
    <w:p w:rsidR="001B60D2" w:rsidRPr="0067665F" w:rsidRDefault="001B60D2" w:rsidP="001B60D2">
      <w:pPr>
        <w:contextualSpacing/>
        <w:jc w:val="both"/>
        <w:rPr>
          <w:rFonts w:ascii="Verdana" w:hAnsi="Verdana"/>
          <w:i/>
          <w:sz w:val="22"/>
          <w:szCs w:val="22"/>
        </w:rPr>
      </w:pPr>
      <w:r w:rsidRPr="0067665F">
        <w:rPr>
          <w:rFonts w:ascii="Verdana" w:hAnsi="Verdana"/>
          <w:i/>
          <w:sz w:val="22"/>
          <w:szCs w:val="22"/>
        </w:rPr>
        <w:t>•</w:t>
      </w:r>
      <w:r w:rsidRPr="0067665F">
        <w:rPr>
          <w:rFonts w:ascii="Verdana" w:hAnsi="Verdana"/>
          <w:i/>
          <w:sz w:val="22"/>
          <w:szCs w:val="22"/>
        </w:rPr>
        <w:tab/>
        <w:t>all’individuazione di norme e meccanismi atti a garantire, anche in prospettiva futura, un indiscusso e incisivo potere di orientamento, da parte dei soci pubblici loc</w:t>
      </w:r>
      <w:r w:rsidRPr="0067665F">
        <w:rPr>
          <w:rFonts w:ascii="Verdana" w:hAnsi="Verdana"/>
          <w:i/>
          <w:sz w:val="22"/>
          <w:szCs w:val="22"/>
        </w:rPr>
        <w:t>a</w:t>
      </w:r>
      <w:r w:rsidRPr="0067665F">
        <w:rPr>
          <w:rFonts w:ascii="Verdana" w:hAnsi="Verdana"/>
          <w:i/>
          <w:sz w:val="22"/>
          <w:szCs w:val="22"/>
        </w:rPr>
        <w:t>li, riguardo alle scelte strategiche operate dagli organismi societari;</w:t>
      </w:r>
    </w:p>
    <w:p w:rsidR="001B60D2" w:rsidRPr="0067665F" w:rsidRDefault="001B60D2" w:rsidP="001B60D2">
      <w:pPr>
        <w:contextualSpacing/>
        <w:jc w:val="both"/>
        <w:rPr>
          <w:rFonts w:ascii="Verdana" w:hAnsi="Verdana"/>
          <w:i/>
          <w:sz w:val="22"/>
          <w:szCs w:val="22"/>
        </w:rPr>
      </w:pPr>
      <w:r w:rsidRPr="0067665F">
        <w:rPr>
          <w:rFonts w:ascii="Verdana" w:hAnsi="Verdana"/>
          <w:i/>
          <w:sz w:val="22"/>
          <w:szCs w:val="22"/>
        </w:rPr>
        <w:t>•</w:t>
      </w:r>
      <w:r w:rsidRPr="0067665F">
        <w:rPr>
          <w:rFonts w:ascii="Verdana" w:hAnsi="Verdana"/>
          <w:i/>
          <w:sz w:val="22"/>
          <w:szCs w:val="22"/>
        </w:rPr>
        <w:tab/>
        <w:t>al focus sui contenuti industriali dell’operazione, con (i) il consolidamento del business della distribuzione gas negli Atem di riferimento, (ii) la valorizzazione della base clienti, il mantenimento dei presidi territoriali e la valorizzazione dei Brand es</w:t>
      </w:r>
      <w:r w:rsidRPr="0067665F">
        <w:rPr>
          <w:rFonts w:ascii="Verdana" w:hAnsi="Verdana"/>
          <w:i/>
          <w:sz w:val="22"/>
          <w:szCs w:val="22"/>
        </w:rPr>
        <w:t>i</w:t>
      </w:r>
      <w:r w:rsidRPr="0067665F">
        <w:rPr>
          <w:rFonts w:ascii="Verdana" w:hAnsi="Verdana"/>
          <w:i/>
          <w:sz w:val="22"/>
          <w:szCs w:val="22"/>
        </w:rPr>
        <w:t>stenti nella vendita di gas e di energia elettrica, (iii) la messa a disposizione del terr</w:t>
      </w:r>
      <w:r w:rsidRPr="0067665F">
        <w:rPr>
          <w:rFonts w:ascii="Verdana" w:hAnsi="Verdana"/>
          <w:i/>
          <w:sz w:val="22"/>
          <w:szCs w:val="22"/>
        </w:rPr>
        <w:t>i</w:t>
      </w:r>
      <w:r w:rsidRPr="0067665F">
        <w:rPr>
          <w:rFonts w:ascii="Verdana" w:hAnsi="Verdana"/>
          <w:i/>
          <w:sz w:val="22"/>
          <w:szCs w:val="22"/>
        </w:rPr>
        <w:t>torio di importanti investimenti, non inferiori a € 3.000.000 annui per il territorio della Provincia di Lecco, nei settori dell’efficientamento energetico degli edifici, della mobil</w:t>
      </w:r>
      <w:r w:rsidRPr="0067665F">
        <w:rPr>
          <w:rFonts w:ascii="Verdana" w:hAnsi="Verdana"/>
          <w:i/>
          <w:sz w:val="22"/>
          <w:szCs w:val="22"/>
        </w:rPr>
        <w:t>i</w:t>
      </w:r>
      <w:r w:rsidRPr="0067665F">
        <w:rPr>
          <w:rFonts w:ascii="Verdana" w:hAnsi="Verdana"/>
          <w:i/>
          <w:sz w:val="22"/>
          <w:szCs w:val="22"/>
        </w:rPr>
        <w:t xml:space="preserve">tà elettrica e dei servizi pubblici nell’ottica </w:t>
      </w:r>
      <w:proofErr w:type="spellStart"/>
      <w:r w:rsidRPr="0067665F">
        <w:rPr>
          <w:rFonts w:ascii="Verdana" w:hAnsi="Verdana"/>
          <w:i/>
          <w:sz w:val="22"/>
          <w:szCs w:val="22"/>
        </w:rPr>
        <w:t>smart</w:t>
      </w:r>
      <w:proofErr w:type="spellEnd"/>
      <w:r w:rsidRPr="0067665F">
        <w:rPr>
          <w:rFonts w:ascii="Verdana" w:hAnsi="Verdana"/>
          <w:i/>
          <w:sz w:val="22"/>
          <w:szCs w:val="22"/>
        </w:rPr>
        <w:t>-city;</w:t>
      </w:r>
    </w:p>
    <w:p w:rsidR="001B60D2" w:rsidRPr="0067665F" w:rsidRDefault="001B60D2" w:rsidP="001B60D2">
      <w:pPr>
        <w:contextualSpacing/>
        <w:jc w:val="both"/>
        <w:rPr>
          <w:rFonts w:ascii="Verdana" w:hAnsi="Verdana"/>
          <w:i/>
          <w:sz w:val="22"/>
          <w:szCs w:val="22"/>
        </w:rPr>
      </w:pPr>
      <w:r w:rsidRPr="0067665F">
        <w:rPr>
          <w:rFonts w:ascii="Verdana" w:hAnsi="Verdana"/>
          <w:i/>
          <w:sz w:val="22"/>
          <w:szCs w:val="22"/>
        </w:rPr>
        <w:t>•</w:t>
      </w:r>
      <w:r w:rsidRPr="0067665F">
        <w:rPr>
          <w:rFonts w:ascii="Verdana" w:hAnsi="Verdana"/>
          <w:i/>
          <w:sz w:val="22"/>
          <w:szCs w:val="22"/>
        </w:rPr>
        <w:tab/>
        <w:t>il progetto di fusione dovrà inoltre vincolare la multi-utility a non effettuare i</w:t>
      </w:r>
      <w:r w:rsidRPr="0067665F">
        <w:rPr>
          <w:rFonts w:ascii="Verdana" w:hAnsi="Verdana"/>
          <w:i/>
          <w:sz w:val="22"/>
          <w:szCs w:val="22"/>
        </w:rPr>
        <w:t>n</w:t>
      </w:r>
      <w:r w:rsidRPr="0067665F">
        <w:rPr>
          <w:rFonts w:ascii="Verdana" w:hAnsi="Verdana"/>
          <w:i/>
          <w:sz w:val="22"/>
          <w:szCs w:val="22"/>
        </w:rPr>
        <w:t>vestimenti, almeno per quanto riguarda il territorio della Provincia di Lecco, in progetti energetici che prevedono l’utilizzo di qualsiasi fonte fossile, con esclusione delle infr</w:t>
      </w:r>
      <w:r w:rsidRPr="0067665F">
        <w:rPr>
          <w:rFonts w:ascii="Verdana" w:hAnsi="Verdana"/>
          <w:i/>
          <w:sz w:val="22"/>
          <w:szCs w:val="22"/>
        </w:rPr>
        <w:t>a</w:t>
      </w:r>
      <w:r w:rsidRPr="0067665F">
        <w:rPr>
          <w:rFonts w:ascii="Verdana" w:hAnsi="Verdana"/>
          <w:i/>
          <w:sz w:val="22"/>
          <w:szCs w:val="22"/>
        </w:rPr>
        <w:t>strutture di distribuzione del metano, dei distributori di gas metano e dei piccoli i</w:t>
      </w:r>
      <w:r w:rsidRPr="0067665F">
        <w:rPr>
          <w:rFonts w:ascii="Verdana" w:hAnsi="Verdana"/>
          <w:i/>
          <w:sz w:val="22"/>
          <w:szCs w:val="22"/>
        </w:rPr>
        <w:t>m</w:t>
      </w:r>
      <w:r w:rsidRPr="0067665F">
        <w:rPr>
          <w:rFonts w:ascii="Verdana" w:hAnsi="Verdana"/>
          <w:i/>
          <w:sz w:val="22"/>
          <w:szCs w:val="22"/>
        </w:rPr>
        <w:t>pianti di cogenerazione. Nuovi investimenti dovranno altresì riguardare solo ed escl</w:t>
      </w:r>
      <w:r w:rsidRPr="0067665F">
        <w:rPr>
          <w:rFonts w:ascii="Verdana" w:hAnsi="Verdana"/>
          <w:i/>
          <w:sz w:val="22"/>
          <w:szCs w:val="22"/>
        </w:rPr>
        <w:t>u</w:t>
      </w:r>
      <w:r w:rsidRPr="0067665F">
        <w:rPr>
          <w:rFonts w:ascii="Verdana" w:hAnsi="Verdana"/>
          <w:i/>
          <w:sz w:val="22"/>
          <w:szCs w:val="22"/>
        </w:rPr>
        <w:t>sivamente progetti di sviluppo energetico basati su fonti rinnovabili a basso impatto ambientale”;</w:t>
      </w:r>
    </w:p>
    <w:p w:rsidR="001B60D2" w:rsidRPr="0067665F" w:rsidRDefault="001B60D2" w:rsidP="001B60D2">
      <w:pPr>
        <w:contextualSpacing/>
        <w:jc w:val="both"/>
        <w:rPr>
          <w:rFonts w:ascii="Verdana" w:hAnsi="Verdana"/>
          <w:i/>
          <w:sz w:val="22"/>
          <w:szCs w:val="22"/>
        </w:rPr>
      </w:pPr>
      <w:r w:rsidRPr="0067665F">
        <w:rPr>
          <w:rFonts w:ascii="Verdana" w:hAnsi="Verdana"/>
          <w:i/>
          <w:sz w:val="22"/>
          <w:szCs w:val="22"/>
        </w:rPr>
        <w:t>•</w:t>
      </w:r>
      <w:r w:rsidRPr="0067665F">
        <w:rPr>
          <w:rFonts w:ascii="Verdana" w:hAnsi="Verdana"/>
          <w:i/>
          <w:sz w:val="22"/>
          <w:szCs w:val="22"/>
        </w:rPr>
        <w:tab/>
        <w:t>alla localizzazione sul territorio della provincia di Lecco del polo territoriale della Vendita entro i primi due anni della partnership oltre alla permanenza quale unità op</w:t>
      </w:r>
      <w:r w:rsidRPr="0067665F">
        <w:rPr>
          <w:rFonts w:ascii="Verdana" w:hAnsi="Verdana"/>
          <w:i/>
          <w:sz w:val="22"/>
          <w:szCs w:val="22"/>
        </w:rPr>
        <w:t>e</w:t>
      </w:r>
      <w:r w:rsidRPr="0067665F">
        <w:rPr>
          <w:rFonts w:ascii="Verdana" w:hAnsi="Verdana"/>
          <w:i/>
          <w:sz w:val="22"/>
          <w:szCs w:val="22"/>
        </w:rPr>
        <w:t xml:space="preserve">rativa delle risorse umane e materiali ora costituenti Lario Reti Gas per mantenere i livelli di capacità di intervento ed efficienza raggiunti ora dalla stessa azienda, il tutto garantendo la salvaguardia dei livelli occupazionali di entrambe le società partecipate; </w:t>
      </w:r>
    </w:p>
    <w:p w:rsidR="001B60D2" w:rsidRPr="0067665F" w:rsidRDefault="001B60D2" w:rsidP="001B60D2">
      <w:pPr>
        <w:contextualSpacing/>
        <w:jc w:val="both"/>
        <w:rPr>
          <w:rFonts w:ascii="Verdana" w:hAnsi="Verdana"/>
          <w:i/>
          <w:sz w:val="22"/>
          <w:szCs w:val="22"/>
        </w:rPr>
      </w:pPr>
      <w:r w:rsidRPr="0067665F">
        <w:rPr>
          <w:rFonts w:ascii="Verdana" w:hAnsi="Verdana"/>
          <w:i/>
          <w:sz w:val="22"/>
          <w:szCs w:val="22"/>
        </w:rPr>
        <w:t>•</w:t>
      </w:r>
      <w:r w:rsidRPr="0067665F">
        <w:rPr>
          <w:rFonts w:ascii="Verdana" w:hAnsi="Verdana"/>
          <w:i/>
          <w:sz w:val="22"/>
          <w:szCs w:val="22"/>
        </w:rPr>
        <w:tab/>
        <w:t>al conseguimento di un flusso di dividendi da parte della società risultante dalla fusione tali per cui sia poi possibile garantire la distribuzione ai soci di LRH di dividendi pari al 67% dell'utile e/o comunque almeno pari a quelli distribuiti negli ultimi esercizi oltre alle altre forme di contribuzione al perseguimento delle finalità istituzionali degli enti locali azionisti;</w:t>
      </w:r>
    </w:p>
    <w:p w:rsidR="001B60D2" w:rsidRPr="0067665F" w:rsidRDefault="001B60D2" w:rsidP="001B60D2">
      <w:pPr>
        <w:contextualSpacing/>
        <w:jc w:val="both"/>
        <w:rPr>
          <w:rFonts w:ascii="Verdana" w:hAnsi="Verdana"/>
          <w:i/>
          <w:sz w:val="22"/>
          <w:szCs w:val="22"/>
        </w:rPr>
      </w:pPr>
      <w:r w:rsidRPr="0067665F">
        <w:rPr>
          <w:rFonts w:ascii="Verdana" w:hAnsi="Verdana"/>
          <w:i/>
          <w:sz w:val="22"/>
          <w:szCs w:val="22"/>
        </w:rPr>
        <w:t>•</w:t>
      </w:r>
      <w:r w:rsidRPr="0067665F">
        <w:rPr>
          <w:rFonts w:ascii="Verdana" w:hAnsi="Verdana"/>
          <w:i/>
          <w:sz w:val="22"/>
          <w:szCs w:val="22"/>
        </w:rPr>
        <w:tab/>
        <w:t>alla acquisizione del preventivo parere dell’autorità Antitrust.</w:t>
      </w:r>
    </w:p>
    <w:p w:rsidR="001B60D2" w:rsidRDefault="001B60D2" w:rsidP="001B60D2">
      <w:pPr>
        <w:contextualSpacing/>
        <w:jc w:val="both"/>
        <w:rPr>
          <w:rFonts w:ascii="Verdana" w:hAnsi="Verdana"/>
          <w:sz w:val="22"/>
          <w:szCs w:val="22"/>
        </w:rPr>
      </w:pPr>
    </w:p>
    <w:p w:rsidR="001B60D2" w:rsidRDefault="001B60D2" w:rsidP="001B60D2">
      <w:pPr>
        <w:contextualSpacing/>
        <w:jc w:val="both"/>
        <w:rPr>
          <w:rFonts w:ascii="Verdana" w:hAnsi="Verdana"/>
          <w:sz w:val="22"/>
          <w:szCs w:val="22"/>
        </w:rPr>
      </w:pPr>
    </w:p>
    <w:p w:rsidR="00C32349" w:rsidRPr="001D0D65" w:rsidRDefault="00C32349" w:rsidP="00316F62">
      <w:pPr>
        <w:autoSpaceDE w:val="0"/>
        <w:autoSpaceDN w:val="0"/>
        <w:adjustRightInd w:val="0"/>
        <w:jc w:val="both"/>
        <w:rPr>
          <w:rFonts w:ascii="Verdana" w:hAnsi="Verdana"/>
          <w:bCs/>
          <w:sz w:val="22"/>
          <w:szCs w:val="22"/>
        </w:rPr>
      </w:pPr>
    </w:p>
    <w:p w:rsidR="00C32349" w:rsidRPr="001D0D65" w:rsidRDefault="006736EE" w:rsidP="00C32349">
      <w:pPr>
        <w:pStyle w:val="Titolo2"/>
        <w:tabs>
          <w:tab w:val="clear" w:pos="1134"/>
          <w:tab w:val="left" w:pos="709"/>
        </w:tabs>
        <w:ind w:left="709" w:hanging="709"/>
        <w:jc w:val="both"/>
        <w:rPr>
          <w:rFonts w:ascii="Verdana" w:hAnsi="Verdana"/>
          <w:bCs/>
          <w:sz w:val="22"/>
          <w:szCs w:val="22"/>
          <w:u w:val="none"/>
        </w:rPr>
      </w:pPr>
      <w:r>
        <w:rPr>
          <w:rFonts w:ascii="Verdana" w:hAnsi="Verdana"/>
          <w:bCs/>
          <w:sz w:val="22"/>
          <w:szCs w:val="22"/>
          <w:u w:val="none"/>
        </w:rPr>
        <w:t>4</w:t>
      </w:r>
      <w:r w:rsidR="00C32349" w:rsidRPr="001D0D65">
        <w:rPr>
          <w:rFonts w:ascii="Verdana" w:hAnsi="Verdana"/>
          <w:bCs/>
          <w:sz w:val="22"/>
          <w:szCs w:val="22"/>
          <w:u w:val="none"/>
        </w:rPr>
        <w:t xml:space="preserve">. EFFETTI ECONOMICI </w:t>
      </w:r>
    </w:p>
    <w:p w:rsidR="00C32349" w:rsidRPr="001D0D65" w:rsidRDefault="00C32349" w:rsidP="00316F62">
      <w:pPr>
        <w:autoSpaceDE w:val="0"/>
        <w:autoSpaceDN w:val="0"/>
        <w:adjustRightInd w:val="0"/>
        <w:jc w:val="both"/>
        <w:rPr>
          <w:rFonts w:ascii="Verdana" w:hAnsi="Verdana"/>
          <w:bCs/>
          <w:sz w:val="22"/>
          <w:szCs w:val="22"/>
        </w:rPr>
      </w:pPr>
    </w:p>
    <w:p w:rsidR="006736EE" w:rsidRPr="006736EE" w:rsidRDefault="006736EE" w:rsidP="00316F62">
      <w:pPr>
        <w:autoSpaceDE w:val="0"/>
        <w:autoSpaceDN w:val="0"/>
        <w:adjustRightInd w:val="0"/>
        <w:jc w:val="both"/>
        <w:rPr>
          <w:rFonts w:ascii="Verdana" w:hAnsi="Verdana"/>
          <w:bCs/>
          <w:sz w:val="22"/>
          <w:szCs w:val="22"/>
        </w:rPr>
      </w:pPr>
      <w:r w:rsidRPr="006736EE">
        <w:rPr>
          <w:rFonts w:ascii="Verdana" w:hAnsi="Verdana"/>
          <w:bCs/>
          <w:sz w:val="22"/>
          <w:szCs w:val="22"/>
        </w:rPr>
        <w:t xml:space="preserve">Il presente provvedimento non comporta </w:t>
      </w:r>
      <w:r w:rsidR="006A4DF8" w:rsidRPr="006736EE">
        <w:rPr>
          <w:rFonts w:ascii="Verdana" w:hAnsi="Verdana"/>
          <w:bCs/>
          <w:sz w:val="22"/>
          <w:szCs w:val="22"/>
        </w:rPr>
        <w:t>alcun riflesso</w:t>
      </w:r>
      <w:r w:rsidRPr="006736EE">
        <w:rPr>
          <w:rFonts w:ascii="Verdana" w:hAnsi="Verdana"/>
          <w:bCs/>
          <w:sz w:val="22"/>
          <w:szCs w:val="22"/>
        </w:rPr>
        <w:t xml:space="preserve"> immediato </w:t>
      </w:r>
      <w:r w:rsidR="003B217D" w:rsidRPr="006736EE">
        <w:rPr>
          <w:rFonts w:ascii="Verdana" w:hAnsi="Verdana"/>
          <w:bCs/>
          <w:sz w:val="22"/>
          <w:szCs w:val="22"/>
        </w:rPr>
        <w:t xml:space="preserve">sulla situazione economico-finanziaria o sul patrimonio dell'ente (a mente dell’art. 49 del </w:t>
      </w:r>
      <w:proofErr w:type="spellStart"/>
      <w:r w:rsidR="003B217D" w:rsidRPr="006736EE">
        <w:rPr>
          <w:rFonts w:ascii="Verdana" w:hAnsi="Verdana"/>
          <w:bCs/>
          <w:sz w:val="22"/>
          <w:szCs w:val="22"/>
        </w:rPr>
        <w:t>D.L.vo</w:t>
      </w:r>
      <w:proofErr w:type="spellEnd"/>
      <w:r w:rsidR="003B217D" w:rsidRPr="006736EE">
        <w:rPr>
          <w:rFonts w:ascii="Verdana" w:hAnsi="Verdana"/>
          <w:bCs/>
          <w:sz w:val="22"/>
          <w:szCs w:val="22"/>
        </w:rPr>
        <w:t xml:space="preserve"> n. 267/2000 e s. m. ed i.) </w:t>
      </w:r>
      <w:r w:rsidRPr="006736EE">
        <w:rPr>
          <w:rFonts w:ascii="Verdana" w:hAnsi="Verdana"/>
          <w:bCs/>
          <w:sz w:val="22"/>
          <w:szCs w:val="22"/>
        </w:rPr>
        <w:t>ma il risultato dell’operazione di aggregazione societaria è d</w:t>
      </w:r>
      <w:r w:rsidRPr="006736EE">
        <w:rPr>
          <w:rFonts w:ascii="Verdana" w:hAnsi="Verdana"/>
          <w:bCs/>
          <w:sz w:val="22"/>
          <w:szCs w:val="22"/>
        </w:rPr>
        <w:t>e</w:t>
      </w:r>
      <w:r w:rsidRPr="006736EE">
        <w:rPr>
          <w:rFonts w:ascii="Verdana" w:hAnsi="Verdana"/>
          <w:bCs/>
          <w:sz w:val="22"/>
          <w:szCs w:val="22"/>
        </w:rPr>
        <w:t xml:space="preserve">stinato a produrre effetti futuri sulla partecipazione detenuta dal Comune di Lecco in Lario Reti Holding e, in conseguenza del progetto di fusione per incorporazione, sulla partecipazione in </w:t>
      </w:r>
      <w:r w:rsidRPr="006736EE">
        <w:rPr>
          <w:rFonts w:ascii="Verdana" w:hAnsi="Verdana"/>
          <w:sz w:val="22"/>
          <w:szCs w:val="22"/>
        </w:rPr>
        <w:t>ACSM-AGAM</w:t>
      </w:r>
      <w:r w:rsidR="00E952A5">
        <w:rPr>
          <w:rFonts w:ascii="Verdana" w:hAnsi="Verdana"/>
          <w:sz w:val="22"/>
          <w:szCs w:val="22"/>
        </w:rPr>
        <w:t xml:space="preserve"> e nell</w:t>
      </w:r>
      <w:r w:rsidR="00064839">
        <w:rPr>
          <w:rFonts w:ascii="Verdana" w:hAnsi="Verdana"/>
          <w:sz w:val="22"/>
          <w:szCs w:val="22"/>
        </w:rPr>
        <w:t>a</w:t>
      </w:r>
      <w:r w:rsidR="00E952A5">
        <w:rPr>
          <w:rFonts w:ascii="Verdana" w:hAnsi="Verdana"/>
          <w:sz w:val="22"/>
          <w:szCs w:val="22"/>
        </w:rPr>
        <w:t xml:space="preserve"> </w:t>
      </w:r>
      <w:proofErr w:type="spellStart"/>
      <w:r w:rsidR="00E952A5">
        <w:rPr>
          <w:rFonts w:ascii="Verdana" w:hAnsi="Verdana"/>
          <w:sz w:val="22"/>
          <w:szCs w:val="22"/>
        </w:rPr>
        <w:t>NewCo</w:t>
      </w:r>
      <w:proofErr w:type="spellEnd"/>
      <w:r w:rsidR="00E952A5">
        <w:rPr>
          <w:rFonts w:ascii="Verdana" w:hAnsi="Verdana"/>
          <w:sz w:val="22"/>
          <w:szCs w:val="22"/>
        </w:rPr>
        <w:t>.</w:t>
      </w:r>
    </w:p>
    <w:p w:rsidR="00822FFB" w:rsidRPr="001D0D65" w:rsidRDefault="00822FFB" w:rsidP="00822FFB">
      <w:pPr>
        <w:jc w:val="both"/>
        <w:rPr>
          <w:rFonts w:ascii="Verdana" w:hAnsi="Verdana"/>
          <w:sz w:val="22"/>
          <w:szCs w:val="22"/>
        </w:rPr>
      </w:pPr>
    </w:p>
    <w:p w:rsidR="00C32349" w:rsidRPr="001D0D65" w:rsidRDefault="00C32349">
      <w:pPr>
        <w:pStyle w:val="Titolo2"/>
        <w:tabs>
          <w:tab w:val="clear" w:pos="1134"/>
        </w:tabs>
        <w:rPr>
          <w:rFonts w:ascii="Verdana" w:hAnsi="Verdana"/>
          <w:sz w:val="22"/>
          <w:szCs w:val="22"/>
        </w:rPr>
      </w:pPr>
    </w:p>
    <w:p w:rsidR="00426A98" w:rsidRPr="00463625" w:rsidRDefault="00957A6F">
      <w:pPr>
        <w:pStyle w:val="Titolo2"/>
        <w:tabs>
          <w:tab w:val="clear" w:pos="1134"/>
        </w:tabs>
        <w:rPr>
          <w:rFonts w:ascii="Verdana" w:hAnsi="Verdana"/>
          <w:sz w:val="22"/>
          <w:szCs w:val="22"/>
          <w:u w:val="none"/>
        </w:rPr>
      </w:pPr>
      <w:r w:rsidRPr="00463625">
        <w:rPr>
          <w:rFonts w:ascii="Verdana" w:hAnsi="Verdana"/>
          <w:sz w:val="22"/>
          <w:szCs w:val="22"/>
          <w:u w:val="none"/>
        </w:rPr>
        <w:t>IL CONSIGLIO</w:t>
      </w:r>
      <w:r w:rsidR="00426A98" w:rsidRPr="00463625">
        <w:rPr>
          <w:rFonts w:ascii="Verdana" w:hAnsi="Verdana"/>
          <w:sz w:val="22"/>
          <w:szCs w:val="22"/>
          <w:u w:val="none"/>
        </w:rPr>
        <w:t xml:space="preserve"> COMUNALE</w:t>
      </w:r>
    </w:p>
    <w:p w:rsidR="00426A98" w:rsidRDefault="00426A98">
      <w:pPr>
        <w:jc w:val="both"/>
        <w:rPr>
          <w:rFonts w:ascii="Verdana" w:hAnsi="Verdana"/>
          <w:sz w:val="22"/>
          <w:szCs w:val="22"/>
        </w:rPr>
      </w:pPr>
    </w:p>
    <w:p w:rsidR="00A44412" w:rsidRDefault="00A44412">
      <w:pPr>
        <w:jc w:val="both"/>
        <w:rPr>
          <w:rFonts w:ascii="Verdana" w:hAnsi="Verdana"/>
          <w:sz w:val="22"/>
          <w:szCs w:val="22"/>
        </w:rPr>
      </w:pPr>
    </w:p>
    <w:p w:rsidR="00426A98" w:rsidRDefault="00426A98" w:rsidP="00463625">
      <w:pPr>
        <w:jc w:val="both"/>
        <w:rPr>
          <w:rFonts w:ascii="Verdana" w:hAnsi="Verdana"/>
          <w:sz w:val="22"/>
          <w:szCs w:val="22"/>
        </w:rPr>
      </w:pPr>
      <w:r w:rsidRPr="001D0D65">
        <w:rPr>
          <w:rFonts w:ascii="Verdana" w:hAnsi="Verdana"/>
          <w:b/>
          <w:sz w:val="22"/>
          <w:szCs w:val="22"/>
        </w:rPr>
        <w:t>UDITA</w:t>
      </w:r>
      <w:r w:rsidRPr="001D0D65">
        <w:rPr>
          <w:rFonts w:ascii="Verdana" w:hAnsi="Verdana"/>
          <w:sz w:val="22"/>
          <w:szCs w:val="22"/>
        </w:rPr>
        <w:t xml:space="preserve"> la relazione del Sindaco;</w:t>
      </w:r>
    </w:p>
    <w:p w:rsidR="004120A4" w:rsidRPr="001D0D65" w:rsidRDefault="004120A4" w:rsidP="00463625">
      <w:pPr>
        <w:jc w:val="both"/>
        <w:rPr>
          <w:rFonts w:ascii="Verdana" w:hAnsi="Verdana"/>
          <w:sz w:val="22"/>
          <w:szCs w:val="22"/>
        </w:rPr>
      </w:pPr>
    </w:p>
    <w:p w:rsidR="00426A98" w:rsidRDefault="00426A98">
      <w:pPr>
        <w:jc w:val="both"/>
        <w:rPr>
          <w:rFonts w:ascii="Verdana" w:hAnsi="Verdana"/>
          <w:b/>
          <w:bCs/>
          <w:i/>
          <w:iCs/>
          <w:color w:val="00FF00"/>
          <w:sz w:val="22"/>
          <w:szCs w:val="22"/>
          <w:u w:val="single"/>
        </w:rPr>
      </w:pPr>
    </w:p>
    <w:p w:rsidR="00463625" w:rsidRPr="00463625" w:rsidRDefault="00463625" w:rsidP="00463625">
      <w:pPr>
        <w:contextualSpacing/>
        <w:jc w:val="both"/>
        <w:rPr>
          <w:rFonts w:ascii="Verdana" w:hAnsi="Verdana"/>
          <w:sz w:val="22"/>
          <w:szCs w:val="22"/>
        </w:rPr>
      </w:pPr>
      <w:r w:rsidRPr="00463625">
        <w:rPr>
          <w:rFonts w:ascii="Verdana" w:hAnsi="Verdana"/>
          <w:b/>
          <w:sz w:val="22"/>
          <w:szCs w:val="22"/>
        </w:rPr>
        <w:t>ACQUISITI</w:t>
      </w:r>
      <w:r w:rsidRPr="00463625">
        <w:rPr>
          <w:rFonts w:ascii="Verdana" w:hAnsi="Verdana"/>
          <w:sz w:val="22"/>
          <w:szCs w:val="22"/>
        </w:rPr>
        <w:t>:</w:t>
      </w:r>
    </w:p>
    <w:p w:rsidR="00463625" w:rsidRPr="00463625" w:rsidRDefault="00463625" w:rsidP="0067665F">
      <w:pPr>
        <w:numPr>
          <w:ilvl w:val="0"/>
          <w:numId w:val="25"/>
        </w:numPr>
        <w:ind w:left="426" w:hanging="284"/>
        <w:contextualSpacing/>
        <w:jc w:val="both"/>
        <w:rPr>
          <w:rFonts w:ascii="Verdana" w:hAnsi="Verdana"/>
          <w:sz w:val="22"/>
          <w:szCs w:val="22"/>
        </w:rPr>
      </w:pPr>
      <w:r w:rsidRPr="00463625">
        <w:rPr>
          <w:rFonts w:ascii="Verdana" w:hAnsi="Verdana"/>
          <w:sz w:val="22"/>
          <w:szCs w:val="22"/>
        </w:rPr>
        <w:t xml:space="preserve">il parere della competente commissione consiliare espresso nella seduta del </w:t>
      </w:r>
      <w:r w:rsidR="00E952A5">
        <w:rPr>
          <w:rFonts w:ascii="Verdana" w:hAnsi="Verdana"/>
          <w:sz w:val="22"/>
          <w:szCs w:val="22"/>
        </w:rPr>
        <w:t>20 febbraio 2018</w:t>
      </w:r>
      <w:r w:rsidRPr="00463625">
        <w:rPr>
          <w:rFonts w:ascii="Verdana" w:hAnsi="Verdana"/>
          <w:sz w:val="22"/>
          <w:szCs w:val="22"/>
        </w:rPr>
        <w:t>;</w:t>
      </w:r>
    </w:p>
    <w:p w:rsidR="00463625" w:rsidRPr="00463625" w:rsidRDefault="00463625" w:rsidP="0067665F">
      <w:pPr>
        <w:numPr>
          <w:ilvl w:val="0"/>
          <w:numId w:val="25"/>
        </w:numPr>
        <w:ind w:left="426" w:hanging="284"/>
        <w:contextualSpacing/>
        <w:jc w:val="both"/>
        <w:rPr>
          <w:rFonts w:ascii="Verdana" w:hAnsi="Verdana"/>
          <w:sz w:val="22"/>
          <w:szCs w:val="22"/>
        </w:rPr>
      </w:pPr>
      <w:r w:rsidRPr="00463625">
        <w:rPr>
          <w:rFonts w:ascii="Verdana" w:hAnsi="Verdana"/>
          <w:sz w:val="22"/>
          <w:szCs w:val="22"/>
        </w:rPr>
        <w:t xml:space="preserve">il parere espresso, ai sensi dell’art. 239, comma 1, </w:t>
      </w:r>
      <w:proofErr w:type="spellStart"/>
      <w:r w:rsidRPr="00463625">
        <w:rPr>
          <w:rFonts w:ascii="Verdana" w:hAnsi="Verdana"/>
          <w:sz w:val="22"/>
          <w:szCs w:val="22"/>
        </w:rPr>
        <w:t>lett</w:t>
      </w:r>
      <w:proofErr w:type="spellEnd"/>
      <w:r w:rsidRPr="00463625">
        <w:rPr>
          <w:rFonts w:ascii="Verdana" w:hAnsi="Verdana"/>
          <w:sz w:val="22"/>
          <w:szCs w:val="22"/>
        </w:rPr>
        <w:t xml:space="preserve">. b n. 3 del </w:t>
      </w:r>
      <w:proofErr w:type="spellStart"/>
      <w:r w:rsidRPr="00463625">
        <w:rPr>
          <w:rFonts w:ascii="Verdana" w:hAnsi="Verdana"/>
          <w:sz w:val="22"/>
          <w:szCs w:val="22"/>
        </w:rPr>
        <w:t>D.Lgs.</w:t>
      </w:r>
      <w:proofErr w:type="spellEnd"/>
      <w:r w:rsidRPr="00463625">
        <w:rPr>
          <w:rFonts w:ascii="Verdana" w:hAnsi="Verdana"/>
          <w:sz w:val="22"/>
          <w:szCs w:val="22"/>
        </w:rPr>
        <w:t xml:space="preserve"> n. 267/2000, dal Collegio dei Revisori dei Conti;</w:t>
      </w:r>
    </w:p>
    <w:p w:rsidR="00463625" w:rsidRPr="001D0D65" w:rsidRDefault="00463625">
      <w:pPr>
        <w:jc w:val="both"/>
        <w:rPr>
          <w:rFonts w:ascii="Verdana" w:hAnsi="Verdana"/>
          <w:b/>
          <w:bCs/>
          <w:i/>
          <w:iCs/>
          <w:color w:val="00FF00"/>
          <w:sz w:val="22"/>
          <w:szCs w:val="22"/>
          <w:u w:val="single"/>
        </w:rPr>
      </w:pPr>
    </w:p>
    <w:p w:rsidR="006A4DF8" w:rsidRDefault="00426A98" w:rsidP="006736EE">
      <w:pPr>
        <w:jc w:val="both"/>
        <w:rPr>
          <w:rFonts w:ascii="Verdana" w:hAnsi="Verdana"/>
          <w:sz w:val="22"/>
          <w:szCs w:val="22"/>
        </w:rPr>
      </w:pPr>
      <w:r w:rsidRPr="001D0D65">
        <w:rPr>
          <w:rFonts w:ascii="Verdana" w:hAnsi="Verdana"/>
          <w:b/>
          <w:sz w:val="22"/>
          <w:szCs w:val="22"/>
        </w:rPr>
        <w:t>ACCERTATO</w:t>
      </w:r>
      <w:r w:rsidRPr="001D0D65">
        <w:rPr>
          <w:rFonts w:ascii="Verdana" w:hAnsi="Verdana"/>
          <w:sz w:val="22"/>
          <w:szCs w:val="22"/>
        </w:rPr>
        <w:t xml:space="preserve"> che la competenza a deliberare sulla proposta in oggetto appartiene al </w:t>
      </w:r>
      <w:r w:rsidR="00075230" w:rsidRPr="001D0D65">
        <w:rPr>
          <w:rFonts w:ascii="Verdana" w:hAnsi="Verdana"/>
          <w:sz w:val="22"/>
          <w:szCs w:val="22"/>
        </w:rPr>
        <w:t>Consiglio</w:t>
      </w:r>
      <w:r w:rsidRPr="001D0D65">
        <w:rPr>
          <w:rFonts w:ascii="Verdana" w:hAnsi="Verdana"/>
          <w:sz w:val="22"/>
          <w:szCs w:val="22"/>
        </w:rPr>
        <w:t xml:space="preserve"> comunale ai sensi dell’art. 4</w:t>
      </w:r>
      <w:r w:rsidR="00075230" w:rsidRPr="001D0D65">
        <w:rPr>
          <w:rFonts w:ascii="Verdana" w:hAnsi="Verdana"/>
          <w:sz w:val="22"/>
          <w:szCs w:val="22"/>
        </w:rPr>
        <w:t>2</w:t>
      </w:r>
      <w:r w:rsidRPr="001D0D65">
        <w:rPr>
          <w:rFonts w:ascii="Verdana" w:hAnsi="Verdana"/>
          <w:sz w:val="22"/>
          <w:szCs w:val="22"/>
        </w:rPr>
        <w:t xml:space="preserve"> del </w:t>
      </w:r>
      <w:proofErr w:type="spellStart"/>
      <w:r w:rsidRPr="001D0D65">
        <w:rPr>
          <w:rFonts w:ascii="Verdana" w:hAnsi="Verdana"/>
          <w:sz w:val="22"/>
          <w:szCs w:val="22"/>
        </w:rPr>
        <w:t>D.Lgs.</w:t>
      </w:r>
      <w:proofErr w:type="spellEnd"/>
      <w:r w:rsidRPr="001D0D65">
        <w:rPr>
          <w:rFonts w:ascii="Verdana" w:hAnsi="Verdana"/>
          <w:sz w:val="22"/>
          <w:szCs w:val="22"/>
        </w:rPr>
        <w:t xml:space="preserve"> 18.8.2000, n. 267, </w:t>
      </w:r>
      <w:r w:rsidR="006A4DF8" w:rsidRPr="001D0D65">
        <w:rPr>
          <w:rFonts w:ascii="Verdana" w:hAnsi="Verdana"/>
          <w:sz w:val="22"/>
          <w:szCs w:val="22"/>
        </w:rPr>
        <w:t>e che sono stati espressi, sulla</w:t>
      </w:r>
      <w:r w:rsidR="006736EE">
        <w:rPr>
          <w:rFonts w:ascii="Verdana" w:hAnsi="Verdana"/>
          <w:sz w:val="22"/>
          <w:szCs w:val="22"/>
        </w:rPr>
        <w:t xml:space="preserve"> </w:t>
      </w:r>
      <w:r w:rsidR="006A4DF8" w:rsidRPr="001D0D65">
        <w:rPr>
          <w:rFonts w:ascii="Verdana" w:hAnsi="Verdana"/>
          <w:sz w:val="22"/>
          <w:szCs w:val="22"/>
        </w:rPr>
        <w:t xml:space="preserve">proposta della presente deliberazione, i pareri ex art. 49 del </w:t>
      </w:r>
      <w:proofErr w:type="spellStart"/>
      <w:r w:rsidR="006A4DF8" w:rsidRPr="001D0D65">
        <w:rPr>
          <w:rFonts w:ascii="Verdana" w:hAnsi="Verdana"/>
          <w:sz w:val="22"/>
          <w:szCs w:val="22"/>
        </w:rPr>
        <w:t>D.Lgs.</w:t>
      </w:r>
      <w:proofErr w:type="spellEnd"/>
      <w:r w:rsidR="006A4DF8" w:rsidRPr="001D0D65">
        <w:rPr>
          <w:rFonts w:ascii="Verdana" w:hAnsi="Verdana"/>
          <w:sz w:val="22"/>
          <w:szCs w:val="22"/>
        </w:rPr>
        <w:t xml:space="preserve"> medesimo,</w:t>
      </w:r>
      <w:r w:rsidR="004F2FEE" w:rsidRPr="001D0D65">
        <w:rPr>
          <w:rFonts w:ascii="Verdana" w:hAnsi="Verdana"/>
          <w:sz w:val="22"/>
          <w:szCs w:val="22"/>
        </w:rPr>
        <w:t xml:space="preserve"> </w:t>
      </w:r>
      <w:r w:rsidR="003B217D" w:rsidRPr="001D0D65">
        <w:rPr>
          <w:rFonts w:ascii="Verdana" w:hAnsi="Verdana"/>
          <w:sz w:val="22"/>
          <w:szCs w:val="22"/>
        </w:rPr>
        <w:t xml:space="preserve">allegati, </w:t>
      </w:r>
      <w:r w:rsidR="006A4DF8" w:rsidRPr="001D0D65">
        <w:rPr>
          <w:rFonts w:ascii="Verdana" w:hAnsi="Verdana"/>
          <w:sz w:val="22"/>
          <w:szCs w:val="22"/>
        </w:rPr>
        <w:t>da parte del Responsabile del servizio e del Responsabile</w:t>
      </w:r>
      <w:r w:rsidR="004F2FEE" w:rsidRPr="001D0D65">
        <w:rPr>
          <w:rFonts w:ascii="Verdana" w:hAnsi="Verdana"/>
          <w:sz w:val="22"/>
          <w:szCs w:val="22"/>
        </w:rPr>
        <w:t xml:space="preserve"> del se</w:t>
      </w:r>
      <w:r w:rsidR="004F2FEE" w:rsidRPr="001D0D65">
        <w:rPr>
          <w:rFonts w:ascii="Verdana" w:hAnsi="Verdana"/>
          <w:sz w:val="22"/>
          <w:szCs w:val="22"/>
        </w:rPr>
        <w:t>r</w:t>
      </w:r>
      <w:r w:rsidR="004F2FEE" w:rsidRPr="001D0D65">
        <w:rPr>
          <w:rFonts w:ascii="Verdana" w:hAnsi="Verdana"/>
          <w:sz w:val="22"/>
          <w:szCs w:val="22"/>
        </w:rPr>
        <w:t xml:space="preserve">vizio ragioneria </w:t>
      </w:r>
    </w:p>
    <w:p w:rsidR="00463625" w:rsidRPr="001D0D65" w:rsidRDefault="00463625" w:rsidP="006736EE">
      <w:pPr>
        <w:jc w:val="both"/>
        <w:rPr>
          <w:rFonts w:ascii="Verdana" w:hAnsi="Verdana"/>
          <w:sz w:val="22"/>
          <w:szCs w:val="22"/>
        </w:rPr>
      </w:pPr>
    </w:p>
    <w:p w:rsidR="00426A98" w:rsidRPr="001D0D65" w:rsidRDefault="00B37B3C" w:rsidP="006736EE">
      <w:pPr>
        <w:jc w:val="both"/>
        <w:rPr>
          <w:rFonts w:ascii="Verdana" w:hAnsi="Verdana"/>
          <w:sz w:val="22"/>
          <w:szCs w:val="22"/>
        </w:rPr>
      </w:pPr>
      <w:r w:rsidRPr="001D0D65">
        <w:rPr>
          <w:rFonts w:ascii="Verdana" w:hAnsi="Verdana"/>
          <w:b/>
          <w:sz w:val="22"/>
          <w:szCs w:val="22"/>
        </w:rPr>
        <w:t xml:space="preserve">CON VOTI </w:t>
      </w:r>
      <w:r w:rsidR="00CC7FF4" w:rsidRPr="001D0D65">
        <w:rPr>
          <w:rFonts w:ascii="Verdana" w:hAnsi="Verdana"/>
          <w:b/>
          <w:sz w:val="22"/>
          <w:szCs w:val="22"/>
        </w:rPr>
        <w:t>______________</w:t>
      </w:r>
      <w:r w:rsidR="00426A98" w:rsidRPr="001D0D65">
        <w:rPr>
          <w:rFonts w:ascii="Verdana" w:hAnsi="Verdana"/>
          <w:sz w:val="22"/>
          <w:szCs w:val="22"/>
        </w:rPr>
        <w:t>, legalmente espressi:</w:t>
      </w:r>
    </w:p>
    <w:p w:rsidR="00426A98" w:rsidRPr="001D0D65" w:rsidRDefault="00426A98">
      <w:pPr>
        <w:jc w:val="both"/>
        <w:rPr>
          <w:rFonts w:ascii="Verdana" w:hAnsi="Verdana"/>
          <w:sz w:val="22"/>
          <w:szCs w:val="22"/>
        </w:rPr>
      </w:pPr>
    </w:p>
    <w:p w:rsidR="003E3565" w:rsidRDefault="003E3565">
      <w:pPr>
        <w:pStyle w:val="Titolo2"/>
        <w:tabs>
          <w:tab w:val="clear" w:pos="1134"/>
        </w:tabs>
        <w:rPr>
          <w:rFonts w:ascii="Verdana" w:hAnsi="Verdana"/>
          <w:sz w:val="22"/>
          <w:szCs w:val="22"/>
          <w:u w:val="none"/>
        </w:rPr>
      </w:pPr>
    </w:p>
    <w:p w:rsidR="00426A98" w:rsidRPr="00A44412" w:rsidRDefault="00426A98">
      <w:pPr>
        <w:pStyle w:val="Titolo2"/>
        <w:tabs>
          <w:tab w:val="clear" w:pos="1134"/>
        </w:tabs>
        <w:rPr>
          <w:rFonts w:ascii="Verdana" w:hAnsi="Verdana"/>
          <w:sz w:val="22"/>
          <w:szCs w:val="22"/>
          <w:u w:val="none"/>
        </w:rPr>
      </w:pPr>
      <w:r w:rsidRPr="00A44412">
        <w:rPr>
          <w:rFonts w:ascii="Verdana" w:hAnsi="Verdana"/>
          <w:sz w:val="22"/>
          <w:szCs w:val="22"/>
          <w:u w:val="none"/>
        </w:rPr>
        <w:t>D E L I B E R A</w:t>
      </w:r>
    </w:p>
    <w:p w:rsidR="00426A98" w:rsidRPr="00A44412" w:rsidRDefault="00426A98">
      <w:pPr>
        <w:jc w:val="both"/>
        <w:rPr>
          <w:rFonts w:ascii="Verdana" w:hAnsi="Verdana"/>
          <w:b/>
          <w:bCs/>
          <w:i/>
          <w:iCs/>
          <w:sz w:val="22"/>
          <w:szCs w:val="22"/>
        </w:rPr>
      </w:pPr>
    </w:p>
    <w:p w:rsidR="00463625" w:rsidRPr="00A44412" w:rsidRDefault="00463625" w:rsidP="00463625">
      <w:pPr>
        <w:pStyle w:val="Corpotesto"/>
        <w:contextualSpacing/>
        <w:jc w:val="both"/>
        <w:rPr>
          <w:rFonts w:ascii="Verdana" w:hAnsi="Verdana"/>
          <w:sz w:val="22"/>
          <w:szCs w:val="22"/>
        </w:rPr>
      </w:pPr>
    </w:p>
    <w:p w:rsidR="00BC31DB" w:rsidRDefault="00463625" w:rsidP="0075516B">
      <w:pPr>
        <w:pStyle w:val="Corpotesto"/>
        <w:numPr>
          <w:ilvl w:val="0"/>
          <w:numId w:val="36"/>
        </w:numPr>
        <w:tabs>
          <w:tab w:val="clear" w:pos="709"/>
          <w:tab w:val="left" w:pos="426"/>
        </w:tabs>
        <w:spacing w:after="120"/>
        <w:ind w:hanging="720"/>
        <w:contextualSpacing/>
        <w:jc w:val="both"/>
        <w:rPr>
          <w:rFonts w:ascii="Verdana" w:hAnsi="Verdana"/>
          <w:sz w:val="22"/>
          <w:szCs w:val="22"/>
        </w:rPr>
      </w:pPr>
      <w:r w:rsidRPr="00A44412">
        <w:rPr>
          <w:rFonts w:ascii="Verdana" w:hAnsi="Verdana"/>
          <w:sz w:val="22"/>
          <w:szCs w:val="22"/>
        </w:rPr>
        <w:t>di approvare</w:t>
      </w:r>
      <w:r w:rsidR="001004D6">
        <w:rPr>
          <w:rFonts w:ascii="Verdana" w:hAnsi="Verdana"/>
          <w:sz w:val="22"/>
          <w:szCs w:val="22"/>
        </w:rPr>
        <w:t xml:space="preserve"> il Progetto di Aggregazione, cosi come approvate dai Consigli di A</w:t>
      </w:r>
      <w:r w:rsidR="001004D6">
        <w:rPr>
          <w:rFonts w:ascii="Verdana" w:hAnsi="Verdana"/>
          <w:sz w:val="22"/>
          <w:szCs w:val="22"/>
        </w:rPr>
        <w:t>m</w:t>
      </w:r>
      <w:r w:rsidR="001004D6">
        <w:rPr>
          <w:rFonts w:ascii="Verdana" w:hAnsi="Verdana"/>
          <w:sz w:val="22"/>
          <w:szCs w:val="22"/>
        </w:rPr>
        <w:t xml:space="preserve">ministrazione delle società </w:t>
      </w:r>
      <w:r w:rsidR="0075516B">
        <w:rPr>
          <w:rFonts w:ascii="Verdana" w:hAnsi="Verdana"/>
          <w:sz w:val="22"/>
          <w:szCs w:val="22"/>
        </w:rPr>
        <w:t>coinvolte nella fusione;</w:t>
      </w:r>
    </w:p>
    <w:p w:rsidR="0075516B" w:rsidRDefault="0075516B" w:rsidP="0075516B">
      <w:pPr>
        <w:pStyle w:val="Corpotesto"/>
        <w:tabs>
          <w:tab w:val="clear" w:pos="709"/>
          <w:tab w:val="left" w:pos="426"/>
        </w:tabs>
        <w:spacing w:after="120"/>
        <w:ind w:left="720"/>
        <w:contextualSpacing/>
        <w:jc w:val="both"/>
        <w:rPr>
          <w:rFonts w:ascii="Verdana" w:hAnsi="Verdana"/>
          <w:sz w:val="22"/>
          <w:szCs w:val="22"/>
        </w:rPr>
      </w:pPr>
    </w:p>
    <w:p w:rsidR="001004D6" w:rsidRPr="00A44412" w:rsidRDefault="001004D6" w:rsidP="005D378D">
      <w:pPr>
        <w:pStyle w:val="Corpotesto"/>
        <w:numPr>
          <w:ilvl w:val="0"/>
          <w:numId w:val="36"/>
        </w:numPr>
        <w:tabs>
          <w:tab w:val="clear" w:pos="709"/>
          <w:tab w:val="left" w:pos="426"/>
        </w:tabs>
        <w:ind w:hanging="720"/>
        <w:contextualSpacing/>
        <w:jc w:val="both"/>
        <w:rPr>
          <w:rFonts w:ascii="Verdana" w:hAnsi="Verdana"/>
          <w:sz w:val="22"/>
          <w:szCs w:val="22"/>
        </w:rPr>
      </w:pPr>
      <w:r>
        <w:rPr>
          <w:rFonts w:ascii="Verdana" w:hAnsi="Verdana"/>
          <w:sz w:val="22"/>
          <w:szCs w:val="22"/>
        </w:rPr>
        <w:t>di approvare l’</w:t>
      </w:r>
      <w:r w:rsidR="0075516B">
        <w:rPr>
          <w:rFonts w:ascii="Verdana" w:hAnsi="Verdana"/>
          <w:sz w:val="22"/>
          <w:szCs w:val="22"/>
        </w:rPr>
        <w:t>A</w:t>
      </w:r>
      <w:r>
        <w:rPr>
          <w:rFonts w:ascii="Verdana" w:hAnsi="Verdana"/>
          <w:sz w:val="22"/>
          <w:szCs w:val="22"/>
        </w:rPr>
        <w:t xml:space="preserve">ccordo </w:t>
      </w:r>
      <w:r w:rsidR="0075516B">
        <w:rPr>
          <w:rFonts w:ascii="Verdana" w:hAnsi="Verdana"/>
          <w:sz w:val="22"/>
          <w:szCs w:val="22"/>
        </w:rPr>
        <w:t>Q</w:t>
      </w:r>
      <w:r>
        <w:rPr>
          <w:rFonts w:ascii="Verdana" w:hAnsi="Verdana"/>
          <w:sz w:val="22"/>
          <w:szCs w:val="22"/>
        </w:rPr>
        <w:t>uadro</w:t>
      </w:r>
      <w:r w:rsidR="0075516B">
        <w:rPr>
          <w:rFonts w:ascii="Verdana" w:hAnsi="Verdana"/>
          <w:sz w:val="22"/>
          <w:szCs w:val="22"/>
        </w:rPr>
        <w:t xml:space="preserve"> e l’Accordo Modificativo dell’Accordo Quadro;</w:t>
      </w:r>
      <w:r>
        <w:rPr>
          <w:rFonts w:ascii="Verdana" w:hAnsi="Verdana"/>
          <w:sz w:val="22"/>
          <w:szCs w:val="22"/>
        </w:rPr>
        <w:t xml:space="preserve"> </w:t>
      </w:r>
    </w:p>
    <w:p w:rsidR="00463625" w:rsidRPr="00A44412" w:rsidRDefault="00463625" w:rsidP="00463625">
      <w:pPr>
        <w:pStyle w:val="Corpotesto"/>
        <w:contextualSpacing/>
        <w:jc w:val="both"/>
        <w:rPr>
          <w:rFonts w:ascii="Verdana" w:hAnsi="Verdana"/>
          <w:sz w:val="22"/>
          <w:szCs w:val="22"/>
        </w:rPr>
      </w:pPr>
    </w:p>
    <w:p w:rsidR="00A44412" w:rsidRPr="0067665F" w:rsidRDefault="00463625" w:rsidP="00A44412">
      <w:pPr>
        <w:pStyle w:val="Corpotesto"/>
        <w:numPr>
          <w:ilvl w:val="0"/>
          <w:numId w:val="36"/>
        </w:numPr>
        <w:tabs>
          <w:tab w:val="clear" w:pos="709"/>
          <w:tab w:val="left" w:pos="426"/>
        </w:tabs>
        <w:ind w:left="426" w:hanging="426"/>
        <w:contextualSpacing/>
        <w:jc w:val="both"/>
        <w:rPr>
          <w:rFonts w:ascii="Verdana" w:hAnsi="Verdana"/>
          <w:sz w:val="22"/>
          <w:szCs w:val="22"/>
        </w:rPr>
      </w:pPr>
      <w:r w:rsidRPr="00A44412">
        <w:rPr>
          <w:rFonts w:ascii="Verdana" w:hAnsi="Verdana"/>
          <w:sz w:val="22"/>
          <w:szCs w:val="22"/>
        </w:rPr>
        <w:t xml:space="preserve">di autorizzare il Sindaco o suo delegato </w:t>
      </w:r>
      <w:r w:rsidR="001004D6">
        <w:rPr>
          <w:rFonts w:ascii="Verdana" w:hAnsi="Verdana"/>
          <w:sz w:val="22"/>
          <w:szCs w:val="22"/>
        </w:rPr>
        <w:t>- subordinatamente al rilascio del parere del perito nominato dal Tribunale</w:t>
      </w:r>
      <w:r w:rsidR="00EF06B8">
        <w:rPr>
          <w:rFonts w:ascii="Verdana" w:hAnsi="Verdana"/>
          <w:sz w:val="22"/>
          <w:szCs w:val="22"/>
        </w:rPr>
        <w:t xml:space="preserve"> </w:t>
      </w:r>
      <w:r w:rsidR="001004D6">
        <w:rPr>
          <w:rFonts w:ascii="Verdana" w:hAnsi="Verdana"/>
          <w:sz w:val="22"/>
          <w:szCs w:val="22"/>
        </w:rPr>
        <w:t xml:space="preserve">di Monza sul rapporto di cambio della Fusione e della Scissione - </w:t>
      </w:r>
      <w:r w:rsidRPr="00A44412">
        <w:rPr>
          <w:rFonts w:ascii="Verdana" w:hAnsi="Verdana"/>
          <w:sz w:val="22"/>
          <w:szCs w:val="22"/>
        </w:rPr>
        <w:t xml:space="preserve">a partecipare </w:t>
      </w:r>
      <w:r w:rsidR="00A44412" w:rsidRPr="00A44412">
        <w:rPr>
          <w:rFonts w:ascii="Verdana" w:hAnsi="Verdana"/>
          <w:sz w:val="22"/>
          <w:szCs w:val="22"/>
        </w:rPr>
        <w:t>all’</w:t>
      </w:r>
      <w:r w:rsidR="001004D6">
        <w:rPr>
          <w:rFonts w:ascii="Verdana" w:hAnsi="Verdana"/>
          <w:sz w:val="22"/>
          <w:szCs w:val="22"/>
        </w:rPr>
        <w:t>assemblea di Lario Reti Holding ed</w:t>
      </w:r>
      <w:r w:rsidR="00A44412" w:rsidRPr="00A44412">
        <w:rPr>
          <w:rFonts w:ascii="Verdana" w:hAnsi="Verdana"/>
          <w:sz w:val="22"/>
          <w:szCs w:val="22"/>
        </w:rPr>
        <w:t xml:space="preserve"> a votare fav</w:t>
      </w:r>
      <w:r w:rsidR="00A44412" w:rsidRPr="00A44412">
        <w:rPr>
          <w:rFonts w:ascii="Verdana" w:hAnsi="Verdana"/>
          <w:sz w:val="22"/>
          <w:szCs w:val="22"/>
        </w:rPr>
        <w:t>o</w:t>
      </w:r>
      <w:r w:rsidR="00A44412" w:rsidRPr="00A44412">
        <w:rPr>
          <w:rFonts w:ascii="Verdana" w:hAnsi="Verdana"/>
          <w:sz w:val="22"/>
          <w:szCs w:val="22"/>
        </w:rPr>
        <w:t xml:space="preserve">revolmente alla prosecuzione del progetto di aggregazione </w:t>
      </w:r>
      <w:r w:rsidR="00EF06B8">
        <w:rPr>
          <w:rFonts w:ascii="Verdana" w:hAnsi="Verdana"/>
          <w:sz w:val="22"/>
          <w:szCs w:val="22"/>
        </w:rPr>
        <w:t xml:space="preserve">dando </w:t>
      </w:r>
      <w:r w:rsidR="00A44412" w:rsidRPr="00A44412">
        <w:rPr>
          <w:rFonts w:ascii="Verdana" w:hAnsi="Verdana"/>
          <w:sz w:val="22"/>
          <w:szCs w:val="22"/>
        </w:rPr>
        <w:t>mandato al Co</w:t>
      </w:r>
      <w:r w:rsidR="00A44412" w:rsidRPr="00A44412">
        <w:rPr>
          <w:rFonts w:ascii="Verdana" w:hAnsi="Verdana"/>
          <w:sz w:val="22"/>
          <w:szCs w:val="22"/>
        </w:rPr>
        <w:t>n</w:t>
      </w:r>
      <w:r w:rsidR="00A44412" w:rsidRPr="00A44412">
        <w:rPr>
          <w:rFonts w:ascii="Verdana" w:hAnsi="Verdana"/>
          <w:sz w:val="22"/>
          <w:szCs w:val="22"/>
        </w:rPr>
        <w:t>siglio di amministrazione della società di approvare il progetto di fusione</w:t>
      </w:r>
      <w:r w:rsidR="0067665F">
        <w:rPr>
          <w:rFonts w:ascii="Verdana" w:hAnsi="Verdana"/>
          <w:sz w:val="22"/>
          <w:szCs w:val="22"/>
        </w:rPr>
        <w:t xml:space="preserve"> e il conf</w:t>
      </w:r>
      <w:r w:rsidR="0067665F">
        <w:rPr>
          <w:rFonts w:ascii="Verdana" w:hAnsi="Verdana"/>
          <w:sz w:val="22"/>
          <w:szCs w:val="22"/>
        </w:rPr>
        <w:t>e</w:t>
      </w:r>
      <w:r w:rsidR="0067665F">
        <w:rPr>
          <w:rFonts w:ascii="Verdana" w:hAnsi="Verdana"/>
          <w:sz w:val="22"/>
          <w:szCs w:val="22"/>
        </w:rPr>
        <w:t>rimento del Ramo d’Azienda di LRH in Lario Reti Gas S.r.l.</w:t>
      </w:r>
      <w:r w:rsidR="001B60D2">
        <w:rPr>
          <w:rFonts w:ascii="Verdana" w:hAnsi="Verdana"/>
          <w:sz w:val="22"/>
          <w:szCs w:val="22"/>
        </w:rPr>
        <w:t xml:space="preserve"> </w:t>
      </w:r>
      <w:r w:rsidR="001B60D2" w:rsidRPr="0067665F">
        <w:rPr>
          <w:rFonts w:ascii="Verdana" w:hAnsi="Verdana"/>
          <w:sz w:val="22"/>
          <w:szCs w:val="22"/>
        </w:rPr>
        <w:t>nelle competenti sedi</w:t>
      </w:r>
      <w:r w:rsidR="0075516B">
        <w:rPr>
          <w:rFonts w:ascii="Verdana" w:hAnsi="Verdana"/>
          <w:sz w:val="22"/>
          <w:szCs w:val="22"/>
        </w:rPr>
        <w:t xml:space="preserve">, come descritto </w:t>
      </w:r>
      <w:r w:rsidR="0075516B" w:rsidRPr="00A44412">
        <w:rPr>
          <w:rFonts w:ascii="Verdana" w:hAnsi="Verdana"/>
          <w:sz w:val="22"/>
          <w:szCs w:val="22"/>
        </w:rPr>
        <w:t xml:space="preserve">nell’Accordo Quadro </w:t>
      </w:r>
      <w:r w:rsidR="0075516B">
        <w:rPr>
          <w:rFonts w:ascii="Verdana" w:hAnsi="Verdana"/>
          <w:sz w:val="22"/>
          <w:szCs w:val="22"/>
        </w:rPr>
        <w:t xml:space="preserve">e nell’Accordo Modificativo </w:t>
      </w:r>
      <w:r w:rsidR="0075516B" w:rsidRPr="00A44412">
        <w:rPr>
          <w:rFonts w:ascii="Verdana" w:hAnsi="Verdana"/>
          <w:sz w:val="22"/>
          <w:szCs w:val="22"/>
        </w:rPr>
        <w:t>e nel Patto Paras</w:t>
      </w:r>
      <w:r w:rsidR="0075516B" w:rsidRPr="00A44412">
        <w:rPr>
          <w:rFonts w:ascii="Verdana" w:hAnsi="Verdana"/>
          <w:sz w:val="22"/>
          <w:szCs w:val="22"/>
        </w:rPr>
        <w:t>o</w:t>
      </w:r>
      <w:r w:rsidR="0075516B" w:rsidRPr="00A44412">
        <w:rPr>
          <w:rFonts w:ascii="Verdana" w:hAnsi="Verdana"/>
          <w:sz w:val="22"/>
          <w:szCs w:val="22"/>
        </w:rPr>
        <w:t>ciale</w:t>
      </w:r>
      <w:r w:rsidR="006503C6" w:rsidRPr="0067665F">
        <w:rPr>
          <w:rFonts w:ascii="Verdana" w:hAnsi="Verdana"/>
          <w:sz w:val="22"/>
          <w:szCs w:val="22"/>
        </w:rPr>
        <w:t>;</w:t>
      </w:r>
    </w:p>
    <w:p w:rsidR="00A44412" w:rsidRPr="00A44412" w:rsidRDefault="00A44412" w:rsidP="00A44412">
      <w:pPr>
        <w:pStyle w:val="Corpotesto"/>
        <w:ind w:left="360"/>
        <w:contextualSpacing/>
        <w:jc w:val="both"/>
        <w:rPr>
          <w:rFonts w:ascii="Verdana" w:hAnsi="Verdana"/>
          <w:sz w:val="22"/>
          <w:szCs w:val="22"/>
        </w:rPr>
      </w:pPr>
    </w:p>
    <w:p w:rsidR="00463625" w:rsidRPr="00A44412" w:rsidRDefault="00463625" w:rsidP="0067665F">
      <w:pPr>
        <w:pStyle w:val="Corpotesto"/>
        <w:numPr>
          <w:ilvl w:val="0"/>
          <w:numId w:val="36"/>
        </w:numPr>
        <w:tabs>
          <w:tab w:val="clear" w:pos="709"/>
          <w:tab w:val="left" w:pos="426"/>
        </w:tabs>
        <w:ind w:left="426" w:hanging="426"/>
        <w:contextualSpacing/>
        <w:jc w:val="both"/>
        <w:rPr>
          <w:rFonts w:ascii="Verdana" w:hAnsi="Verdana"/>
          <w:sz w:val="22"/>
          <w:szCs w:val="22"/>
        </w:rPr>
      </w:pPr>
      <w:r w:rsidRPr="00A44412">
        <w:rPr>
          <w:rFonts w:ascii="Verdana" w:hAnsi="Verdana"/>
          <w:sz w:val="22"/>
          <w:szCs w:val="22"/>
        </w:rPr>
        <w:t xml:space="preserve">di </w:t>
      </w:r>
      <w:r w:rsidR="00A922A9" w:rsidRPr="00A44412">
        <w:rPr>
          <w:rFonts w:ascii="Verdana" w:hAnsi="Verdana"/>
          <w:sz w:val="22"/>
          <w:szCs w:val="22"/>
        </w:rPr>
        <w:t xml:space="preserve">non </w:t>
      </w:r>
      <w:r w:rsidRPr="00A44412">
        <w:rPr>
          <w:rFonts w:ascii="Verdana" w:hAnsi="Verdana"/>
          <w:sz w:val="22"/>
          <w:szCs w:val="22"/>
        </w:rPr>
        <w:t>pubblica</w:t>
      </w:r>
      <w:r w:rsidR="00A922A9" w:rsidRPr="00A44412">
        <w:rPr>
          <w:rFonts w:ascii="Verdana" w:hAnsi="Verdana"/>
          <w:sz w:val="22"/>
          <w:szCs w:val="22"/>
        </w:rPr>
        <w:t>re</w:t>
      </w:r>
      <w:r w:rsidRPr="00A44412">
        <w:rPr>
          <w:rFonts w:ascii="Verdana" w:hAnsi="Verdana"/>
          <w:sz w:val="22"/>
          <w:szCs w:val="22"/>
        </w:rPr>
        <w:t xml:space="preserve"> per le ragioni </w:t>
      </w:r>
      <w:r w:rsidR="00A922A9" w:rsidRPr="00A44412">
        <w:rPr>
          <w:rFonts w:ascii="Verdana" w:hAnsi="Verdana"/>
          <w:sz w:val="22"/>
          <w:szCs w:val="22"/>
        </w:rPr>
        <w:t xml:space="preserve">di riservatezza </w:t>
      </w:r>
      <w:r w:rsidRPr="00A44412">
        <w:rPr>
          <w:rFonts w:ascii="Verdana" w:hAnsi="Verdana"/>
          <w:sz w:val="22"/>
          <w:szCs w:val="22"/>
        </w:rPr>
        <w:t>indicate in premessa e qui da i</w:t>
      </w:r>
      <w:r w:rsidRPr="00A44412">
        <w:rPr>
          <w:rFonts w:ascii="Verdana" w:hAnsi="Verdana"/>
          <w:sz w:val="22"/>
          <w:szCs w:val="22"/>
        </w:rPr>
        <w:t>n</w:t>
      </w:r>
      <w:r w:rsidRPr="00A44412">
        <w:rPr>
          <w:rFonts w:ascii="Verdana" w:hAnsi="Verdana"/>
          <w:sz w:val="22"/>
          <w:szCs w:val="22"/>
        </w:rPr>
        <w:t>tendersi riportate integralmente:</w:t>
      </w:r>
    </w:p>
    <w:p w:rsidR="00463625" w:rsidRPr="00A44412" w:rsidRDefault="00463625" w:rsidP="00A44412">
      <w:pPr>
        <w:pStyle w:val="Corpotesto"/>
        <w:numPr>
          <w:ilvl w:val="0"/>
          <w:numId w:val="26"/>
        </w:numPr>
        <w:tabs>
          <w:tab w:val="clear" w:pos="709"/>
        </w:tabs>
        <w:ind w:left="709" w:hanging="283"/>
        <w:contextualSpacing/>
        <w:jc w:val="both"/>
        <w:rPr>
          <w:rFonts w:ascii="Verdana" w:hAnsi="Verdana"/>
          <w:sz w:val="22"/>
          <w:szCs w:val="22"/>
        </w:rPr>
      </w:pPr>
      <w:r w:rsidRPr="00A44412">
        <w:rPr>
          <w:rFonts w:ascii="Verdana" w:hAnsi="Verdana"/>
          <w:sz w:val="22"/>
          <w:szCs w:val="22"/>
        </w:rPr>
        <w:t>la totalità del documento denominato “Allegato I(iii): Piano Strategico per il Pi</w:t>
      </w:r>
      <w:r w:rsidRPr="00A44412">
        <w:rPr>
          <w:rFonts w:ascii="Verdana" w:hAnsi="Verdana"/>
          <w:sz w:val="22"/>
          <w:szCs w:val="22"/>
        </w:rPr>
        <w:t>a</w:t>
      </w:r>
      <w:r w:rsidRPr="00A44412">
        <w:rPr>
          <w:rFonts w:ascii="Verdana" w:hAnsi="Verdana"/>
          <w:sz w:val="22"/>
          <w:szCs w:val="22"/>
        </w:rPr>
        <w:t>no Industriale”;</w:t>
      </w:r>
    </w:p>
    <w:p w:rsidR="00463625" w:rsidRPr="00A44412" w:rsidRDefault="00463625" w:rsidP="00A44412">
      <w:pPr>
        <w:pStyle w:val="Corpotesto"/>
        <w:numPr>
          <w:ilvl w:val="0"/>
          <w:numId w:val="26"/>
        </w:numPr>
        <w:tabs>
          <w:tab w:val="clear" w:pos="709"/>
        </w:tabs>
        <w:ind w:left="709" w:hanging="283"/>
        <w:contextualSpacing/>
        <w:jc w:val="both"/>
        <w:rPr>
          <w:rFonts w:ascii="Verdana" w:hAnsi="Verdana"/>
          <w:sz w:val="22"/>
          <w:szCs w:val="22"/>
        </w:rPr>
      </w:pPr>
      <w:r w:rsidRPr="00A44412">
        <w:rPr>
          <w:rFonts w:ascii="Verdana" w:hAnsi="Verdana"/>
          <w:sz w:val="22"/>
          <w:szCs w:val="22"/>
        </w:rPr>
        <w:t>la totalità del denominato “Allegato 9.4: Attività consentite nel Periodo Interin</w:t>
      </w:r>
      <w:r w:rsidRPr="00A44412">
        <w:rPr>
          <w:rFonts w:ascii="Verdana" w:hAnsi="Verdana"/>
          <w:sz w:val="22"/>
          <w:szCs w:val="22"/>
        </w:rPr>
        <w:t>a</w:t>
      </w:r>
      <w:r w:rsidRPr="00A44412">
        <w:rPr>
          <w:rFonts w:ascii="Verdana" w:hAnsi="Verdana"/>
          <w:sz w:val="22"/>
          <w:szCs w:val="22"/>
        </w:rPr>
        <w:t>le”;</w:t>
      </w:r>
    </w:p>
    <w:p w:rsidR="003E3565" w:rsidRPr="00A44412" w:rsidRDefault="00463625" w:rsidP="00A44412">
      <w:pPr>
        <w:pStyle w:val="Corpotesto"/>
        <w:numPr>
          <w:ilvl w:val="0"/>
          <w:numId w:val="26"/>
        </w:numPr>
        <w:tabs>
          <w:tab w:val="clear" w:pos="709"/>
        </w:tabs>
        <w:ind w:left="709" w:hanging="283"/>
        <w:contextualSpacing/>
        <w:jc w:val="both"/>
        <w:rPr>
          <w:rFonts w:ascii="Verdana" w:hAnsi="Verdana"/>
          <w:sz w:val="22"/>
          <w:szCs w:val="22"/>
        </w:rPr>
      </w:pPr>
      <w:r w:rsidRPr="00A44412">
        <w:rPr>
          <w:rFonts w:ascii="Verdana" w:hAnsi="Verdana"/>
          <w:sz w:val="22"/>
          <w:szCs w:val="22"/>
        </w:rPr>
        <w:t>alcune parti dei restanti documenti mediante oscuramento e/o apposizione d</w:t>
      </w:r>
      <w:r w:rsidR="00A44412" w:rsidRPr="00A44412">
        <w:rPr>
          <w:rFonts w:ascii="Verdana" w:hAnsi="Verdana"/>
          <w:sz w:val="22"/>
          <w:szCs w:val="22"/>
        </w:rPr>
        <w:t>i dicitura “omissis” o similare.</w:t>
      </w:r>
    </w:p>
    <w:p w:rsidR="003E3565" w:rsidRPr="00A44412" w:rsidRDefault="003E3565" w:rsidP="004F2FEE">
      <w:pPr>
        <w:autoSpaceDE w:val="0"/>
        <w:autoSpaceDN w:val="0"/>
        <w:adjustRightInd w:val="0"/>
        <w:jc w:val="both"/>
        <w:rPr>
          <w:rFonts w:ascii="Verdana" w:hAnsi="Verdana"/>
          <w:i/>
          <w:sz w:val="22"/>
          <w:szCs w:val="22"/>
        </w:rPr>
      </w:pPr>
    </w:p>
    <w:p w:rsidR="00895808" w:rsidRPr="0067665F" w:rsidRDefault="00D1025A" w:rsidP="00E952A5">
      <w:pPr>
        <w:pStyle w:val="Corpotesto"/>
        <w:tabs>
          <w:tab w:val="clear" w:pos="709"/>
        </w:tabs>
        <w:jc w:val="both"/>
        <w:rPr>
          <w:rFonts w:ascii="Verdana" w:hAnsi="Verdana"/>
          <w:sz w:val="22"/>
          <w:szCs w:val="22"/>
        </w:rPr>
      </w:pPr>
      <w:r w:rsidRPr="00A44412">
        <w:rPr>
          <w:rFonts w:ascii="Verdana" w:hAnsi="Verdana"/>
          <w:sz w:val="22"/>
          <w:szCs w:val="22"/>
        </w:rPr>
        <w:t>D</w:t>
      </w:r>
      <w:r w:rsidR="00426A98" w:rsidRPr="00A44412">
        <w:rPr>
          <w:rFonts w:ascii="Verdana" w:hAnsi="Verdana"/>
          <w:sz w:val="22"/>
          <w:szCs w:val="22"/>
        </w:rPr>
        <w:t xml:space="preserve">i precisare che </w:t>
      </w:r>
      <w:r w:rsidR="00957A6F" w:rsidRPr="00A44412">
        <w:rPr>
          <w:rFonts w:ascii="Verdana" w:hAnsi="Verdana"/>
          <w:sz w:val="22"/>
          <w:szCs w:val="22"/>
        </w:rPr>
        <w:t>il Consiglio</w:t>
      </w:r>
      <w:r w:rsidR="00426A98" w:rsidRPr="00A44412">
        <w:rPr>
          <w:rFonts w:ascii="Verdana" w:hAnsi="Verdana"/>
          <w:sz w:val="22"/>
          <w:szCs w:val="22"/>
        </w:rPr>
        <w:t xml:space="preserve"> comunale, con separata votazione,</w:t>
      </w:r>
      <w:r w:rsidR="003B217D" w:rsidRPr="00A44412">
        <w:rPr>
          <w:rFonts w:ascii="Verdana" w:hAnsi="Verdana"/>
          <w:sz w:val="22"/>
          <w:szCs w:val="22"/>
        </w:rPr>
        <w:t xml:space="preserve"> resa ai sensi di legge e dal seguente esito</w:t>
      </w:r>
      <w:r w:rsidR="00B37B3C" w:rsidRPr="00A44412">
        <w:rPr>
          <w:rFonts w:ascii="Verdana" w:hAnsi="Verdana"/>
          <w:sz w:val="22"/>
          <w:szCs w:val="22"/>
        </w:rPr>
        <w:t xml:space="preserve"> </w:t>
      </w:r>
      <w:r w:rsidR="00CC7FF4" w:rsidRPr="00A44412">
        <w:rPr>
          <w:rFonts w:ascii="Verdana" w:hAnsi="Verdana"/>
          <w:sz w:val="22"/>
          <w:szCs w:val="22"/>
        </w:rPr>
        <w:t>_____________</w:t>
      </w:r>
      <w:r w:rsidR="00426A98" w:rsidRPr="00A44412">
        <w:rPr>
          <w:rFonts w:ascii="Verdana" w:hAnsi="Verdana"/>
          <w:sz w:val="22"/>
          <w:szCs w:val="22"/>
        </w:rPr>
        <w:t xml:space="preserve"> a norma dell’art. 134, comma 4, del </w:t>
      </w:r>
      <w:proofErr w:type="spellStart"/>
      <w:r w:rsidR="00426A98" w:rsidRPr="00A44412">
        <w:rPr>
          <w:rFonts w:ascii="Verdana" w:hAnsi="Verdana"/>
          <w:sz w:val="22"/>
          <w:szCs w:val="22"/>
        </w:rPr>
        <w:t>D.Lgs.</w:t>
      </w:r>
      <w:proofErr w:type="spellEnd"/>
      <w:r w:rsidR="00426A98" w:rsidRPr="00A44412">
        <w:rPr>
          <w:rFonts w:ascii="Verdana" w:hAnsi="Verdana"/>
          <w:sz w:val="22"/>
          <w:szCs w:val="22"/>
        </w:rPr>
        <w:t xml:space="preserve"> n. 267 del 18.8.2000, ha dichiarato la presente deliberazione immediatamente eseguibile</w:t>
      </w:r>
      <w:r w:rsidR="00C32349" w:rsidRPr="00A44412">
        <w:rPr>
          <w:rFonts w:ascii="Verdana" w:hAnsi="Verdana"/>
          <w:sz w:val="22"/>
          <w:szCs w:val="22"/>
        </w:rPr>
        <w:t xml:space="preserve"> a</w:t>
      </w:r>
      <w:r w:rsidR="00C32349" w:rsidRPr="00A44412">
        <w:rPr>
          <w:rFonts w:ascii="Verdana" w:hAnsi="Verdana"/>
          <w:sz w:val="22"/>
          <w:szCs w:val="22"/>
        </w:rPr>
        <w:t>t</w:t>
      </w:r>
      <w:r w:rsidR="00C32349" w:rsidRPr="00A44412">
        <w:rPr>
          <w:rFonts w:ascii="Verdana" w:hAnsi="Verdana"/>
          <w:sz w:val="22"/>
          <w:szCs w:val="22"/>
        </w:rPr>
        <w:t xml:space="preserve">tesa l’urgenza di provvedere </w:t>
      </w:r>
      <w:r w:rsidR="00E952A5" w:rsidRPr="00A44412">
        <w:rPr>
          <w:rFonts w:ascii="Verdana" w:hAnsi="Verdana"/>
          <w:sz w:val="22"/>
          <w:szCs w:val="22"/>
        </w:rPr>
        <w:t>per consentire gli adempimenti conseguenti.</w:t>
      </w:r>
    </w:p>
    <w:sectPr w:rsidR="00895808" w:rsidRPr="0067665F" w:rsidSect="003E3565">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0"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6B" w:rsidRDefault="00C3086B">
      <w:r>
        <w:separator/>
      </w:r>
    </w:p>
  </w:endnote>
  <w:endnote w:type="continuationSeparator" w:id="0">
    <w:p w:rsidR="00C3086B" w:rsidRDefault="00C3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D4MLTimesNewRomanPS-Bold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DB" w:rsidRDefault="00BC31DB">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BC31DB" w:rsidRDefault="00BC31DB">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DB" w:rsidRDefault="00BC31DB">
    <w:pPr>
      <w:pStyle w:val="Pidipagina"/>
      <w:ind w:firstLine="36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DB" w:rsidRDefault="00BC31DB">
    <w:pPr>
      <w:pStyle w:val="Pidipagina"/>
      <w:framePr w:wrap="around" w:vAnchor="text" w:hAnchor="margin" w:y="1"/>
      <w:rPr>
        <w:rStyle w:val="Numeropagina"/>
      </w:rPr>
    </w:pPr>
  </w:p>
  <w:p w:rsidR="00BC31DB" w:rsidRDefault="00BC31DB">
    <w:pPr>
      <w:pStyle w:val="Pidipa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6B" w:rsidRDefault="00C3086B">
      <w:r>
        <w:separator/>
      </w:r>
    </w:p>
  </w:footnote>
  <w:footnote w:type="continuationSeparator" w:id="0">
    <w:p w:rsidR="00C3086B" w:rsidRDefault="00C3086B">
      <w:r>
        <w:continuationSeparator/>
      </w:r>
    </w:p>
  </w:footnote>
  <w:footnote w:id="1">
    <w:p w:rsidR="00BC31DB" w:rsidRPr="008F6246" w:rsidRDefault="00BC31DB" w:rsidP="00455BD1">
      <w:pPr>
        <w:pStyle w:val="Testonotaapidipagina"/>
        <w:rPr>
          <w:rFonts w:ascii="Verdana" w:hAnsi="Verdana"/>
        </w:rPr>
      </w:pPr>
      <w:r w:rsidRPr="008F6246">
        <w:rPr>
          <w:rStyle w:val="Rimandonotaapidipagina"/>
          <w:rFonts w:ascii="Verdana" w:hAnsi="Verdana"/>
        </w:rPr>
        <w:footnoteRef/>
      </w:r>
      <w:r w:rsidRPr="008F6246">
        <w:rPr>
          <w:rFonts w:ascii="Verdana" w:hAnsi="Verdana"/>
        </w:rPr>
        <w:t xml:space="preserve"> AEVV Energie Srl è posseduta per il 51% da AEVV Spa, ed AEVV Spa è posseduta per il 43,82% del capitale sociale dal Comune di Sondrio. </w:t>
      </w:r>
    </w:p>
  </w:footnote>
  <w:footnote w:id="2">
    <w:p w:rsidR="0004081A" w:rsidRDefault="0004081A">
      <w:pPr>
        <w:pStyle w:val="Testonotaapidipagina"/>
      </w:pPr>
      <w:r>
        <w:rPr>
          <w:rStyle w:val="Rimandonotaapidipagina"/>
        </w:rPr>
        <w:footnoteRef/>
      </w:r>
      <w:r>
        <w:t xml:space="preserve"> </w:t>
      </w:r>
      <w:r w:rsidRPr="0004081A">
        <w:rPr>
          <w:rFonts w:ascii="Verdana" w:hAnsi="Verdana"/>
          <w:i/>
        </w:rPr>
        <w:t>e-</w:t>
      </w:r>
      <w:proofErr w:type="spellStart"/>
      <w:r w:rsidRPr="0004081A">
        <w:rPr>
          <w:rFonts w:ascii="Verdana" w:hAnsi="Verdana"/>
          <w:i/>
        </w:rPr>
        <w:t>mobility</w:t>
      </w:r>
      <w:proofErr w:type="spellEnd"/>
      <w:r w:rsidRPr="0004081A">
        <w:rPr>
          <w:rFonts w:ascii="Verdana" w:hAnsi="Verdana"/>
        </w:rPr>
        <w:t xml:space="preserve"> = mobilità sostenibile alimentata da fonti rinnovabili</w:t>
      </w:r>
    </w:p>
  </w:footnote>
  <w:footnote w:id="3">
    <w:p w:rsidR="0004081A" w:rsidRPr="0004081A" w:rsidRDefault="0004081A" w:rsidP="0004081A">
      <w:pPr>
        <w:pStyle w:val="Testonotaapidipagina"/>
        <w:rPr>
          <w:rFonts w:ascii="Verdana" w:hAnsi="Verdana"/>
        </w:rPr>
      </w:pPr>
      <w:r>
        <w:rPr>
          <w:rStyle w:val="Rimandonotaapidipagina"/>
        </w:rPr>
        <w:footnoteRef/>
      </w:r>
      <w:r>
        <w:t xml:space="preserve"> </w:t>
      </w:r>
      <w:proofErr w:type="spellStart"/>
      <w:r w:rsidRPr="0004081A">
        <w:rPr>
          <w:rFonts w:ascii="Verdana" w:hAnsi="Verdana"/>
        </w:rPr>
        <w:t>ESCo</w:t>
      </w:r>
      <w:proofErr w:type="spellEnd"/>
      <w:r w:rsidRPr="0004081A">
        <w:rPr>
          <w:rFonts w:ascii="Verdana" w:hAnsi="Verdana"/>
        </w:rPr>
        <w:t xml:space="preserve"> è l’acronimo di </w:t>
      </w:r>
      <w:r w:rsidRPr="0004081A">
        <w:rPr>
          <w:rFonts w:ascii="Verdana" w:hAnsi="Verdana"/>
          <w:i/>
        </w:rPr>
        <w:t>Energy Service Company =</w:t>
      </w:r>
      <w:r w:rsidRPr="0004081A">
        <w:rPr>
          <w:rFonts w:ascii="Verdana" w:hAnsi="Verdana"/>
        </w:rPr>
        <w:t xml:space="preserve"> Società di servizi energetici</w:t>
      </w:r>
    </w:p>
    <w:p w:rsidR="0004081A" w:rsidRDefault="0004081A">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DB" w:rsidRDefault="00BC31DB">
    <w:pPr>
      <w:pStyle w:val="Intestazione"/>
    </w:pPr>
  </w:p>
  <w:p w:rsidR="00BC31DB" w:rsidRDefault="00BC31DB">
    <w:pPr>
      <w:pStyle w:val="Intestazione"/>
    </w:pPr>
  </w:p>
  <w:p w:rsidR="00BC31DB" w:rsidRDefault="00BC31DB">
    <w:pPr>
      <w:pStyle w:val="Intestazio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DB" w:rsidRDefault="00BC31DB">
    <w:pPr>
      <w:pStyle w:val="Intestazione"/>
    </w:pPr>
  </w:p>
  <w:p w:rsidR="00BC31DB" w:rsidRDefault="00BC31DB">
    <w:pPr>
      <w:pStyle w:val="Intestazione"/>
    </w:pPr>
  </w:p>
  <w:p w:rsidR="00BC31DB" w:rsidRDefault="00BC31DB">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47B"/>
    <w:multiLevelType w:val="hybridMultilevel"/>
    <w:tmpl w:val="D3668BD6"/>
    <w:lvl w:ilvl="0" w:tplc="04100015">
      <w:start w:val="1"/>
      <w:numFmt w:val="upperLetter"/>
      <w:lvlText w:val="%1."/>
      <w:lvlJc w:val="left"/>
      <w:pPr>
        <w:ind w:left="1080" w:hanging="360"/>
      </w:pPr>
      <w:rPr>
        <w:rFonts w:hint="default"/>
        <w:sz w:val="22"/>
      </w:rPr>
    </w:lvl>
    <w:lvl w:ilvl="1" w:tplc="04100019">
      <w:start w:val="1"/>
      <w:numFmt w:val="lowerLetter"/>
      <w:lvlText w:val="%2."/>
      <w:lvlJc w:val="left"/>
      <w:pPr>
        <w:ind w:left="1800" w:hanging="360"/>
      </w:pPr>
    </w:lvl>
    <w:lvl w:ilvl="2" w:tplc="1486A4BE">
      <w:start w:val="1"/>
      <w:numFmt w:val="lowerLetter"/>
      <w:lvlText w:val="%3)"/>
      <w:lvlJc w:val="left"/>
      <w:pPr>
        <w:ind w:left="2748" w:hanging="408"/>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50D00BA"/>
    <w:multiLevelType w:val="hybridMultilevel"/>
    <w:tmpl w:val="2C449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844B28"/>
    <w:multiLevelType w:val="hybridMultilevel"/>
    <w:tmpl w:val="DFD80742"/>
    <w:lvl w:ilvl="0" w:tplc="04100015">
      <w:start w:val="1"/>
      <w:numFmt w:val="upp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nsid w:val="0D6E7928"/>
    <w:multiLevelType w:val="hybridMultilevel"/>
    <w:tmpl w:val="847639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D12D1E"/>
    <w:multiLevelType w:val="hybridMultilevel"/>
    <w:tmpl w:val="37646F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4F44F9"/>
    <w:multiLevelType w:val="hybridMultilevel"/>
    <w:tmpl w:val="2BACEDC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552271A"/>
    <w:multiLevelType w:val="hybridMultilevel"/>
    <w:tmpl w:val="A1DCFE56"/>
    <w:lvl w:ilvl="0" w:tplc="9AD6935C">
      <w:start w:val="4"/>
      <w:numFmt w:val="decimal"/>
      <w:lvlText w:val="%1)"/>
      <w:lvlJc w:val="left"/>
      <w:pPr>
        <w:tabs>
          <w:tab w:val="num" w:pos="780"/>
        </w:tabs>
        <w:ind w:left="7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nsid w:val="178B53A7"/>
    <w:multiLevelType w:val="singleLevel"/>
    <w:tmpl w:val="E6D06470"/>
    <w:lvl w:ilvl="0">
      <w:numFmt w:val="bullet"/>
      <w:lvlText w:val="-"/>
      <w:lvlJc w:val="left"/>
      <w:pPr>
        <w:tabs>
          <w:tab w:val="num" w:pos="705"/>
        </w:tabs>
        <w:ind w:left="705" w:hanging="705"/>
      </w:pPr>
      <w:rPr>
        <w:rFonts w:hint="default"/>
      </w:rPr>
    </w:lvl>
  </w:abstractNum>
  <w:abstractNum w:abstractNumId="8">
    <w:nsid w:val="192422EF"/>
    <w:multiLevelType w:val="hybridMultilevel"/>
    <w:tmpl w:val="7B60A7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CBC1337"/>
    <w:multiLevelType w:val="hybridMultilevel"/>
    <w:tmpl w:val="BB401B3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F96084F"/>
    <w:multiLevelType w:val="multilevel"/>
    <w:tmpl w:val="6F906724"/>
    <w:lvl w:ilvl="0">
      <w:start w:val="1"/>
      <w:numFmt w:val="upperLetter"/>
      <w:lvlText w:val="%1."/>
      <w:lvlJc w:val="left"/>
      <w:pPr>
        <w:tabs>
          <w:tab w:val="num" w:pos="360"/>
        </w:tabs>
        <w:ind w:left="360" w:hanging="360"/>
      </w:pPr>
      <w:rPr>
        <w:b/>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20"/>
        <w:szCs w:val="20"/>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1">
    <w:nsid w:val="227465CA"/>
    <w:multiLevelType w:val="hybridMultilevel"/>
    <w:tmpl w:val="86C6E2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995111"/>
    <w:multiLevelType w:val="hybridMultilevel"/>
    <w:tmpl w:val="599ACEFA"/>
    <w:lvl w:ilvl="0" w:tplc="51EC51EE">
      <w:start w:val="1"/>
      <w:numFmt w:val="lowerLetter"/>
      <w:lvlText w:val="(%1)"/>
      <w:lvlJc w:val="left"/>
      <w:pPr>
        <w:ind w:left="1287" w:hanging="360"/>
      </w:pPr>
      <w:rPr>
        <w:rFonts w:hint="default"/>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nsid w:val="2C9A3EE9"/>
    <w:multiLevelType w:val="hybridMultilevel"/>
    <w:tmpl w:val="402EB1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04502F1"/>
    <w:multiLevelType w:val="hybridMultilevel"/>
    <w:tmpl w:val="89725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735733"/>
    <w:multiLevelType w:val="hybridMultilevel"/>
    <w:tmpl w:val="2F5E7648"/>
    <w:lvl w:ilvl="0" w:tplc="7076F47A">
      <w:numFmt w:val="bullet"/>
      <w:lvlText w:val="-"/>
      <w:lvlJc w:val="left"/>
      <w:pPr>
        <w:ind w:left="720" w:hanging="360"/>
      </w:pPr>
      <w:rPr>
        <w:rFonts w:ascii="Georgia" w:eastAsia="Arial"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3F7BAC"/>
    <w:multiLevelType w:val="singleLevel"/>
    <w:tmpl w:val="0410000F"/>
    <w:lvl w:ilvl="0">
      <w:start w:val="1"/>
      <w:numFmt w:val="decimal"/>
      <w:lvlText w:val="%1."/>
      <w:lvlJc w:val="left"/>
      <w:pPr>
        <w:tabs>
          <w:tab w:val="num" w:pos="360"/>
        </w:tabs>
        <w:ind w:left="360" w:hanging="360"/>
      </w:pPr>
    </w:lvl>
  </w:abstractNum>
  <w:abstractNum w:abstractNumId="17">
    <w:nsid w:val="36407199"/>
    <w:multiLevelType w:val="hybridMultilevel"/>
    <w:tmpl w:val="72188654"/>
    <w:lvl w:ilvl="0" w:tplc="04100015">
      <w:start w:val="1"/>
      <w:numFmt w:val="upperLetter"/>
      <w:lvlText w:val="%1."/>
      <w:lvlJc w:val="left"/>
      <w:pPr>
        <w:ind w:left="1287" w:hanging="360"/>
      </w:pPr>
    </w:lvl>
    <w:lvl w:ilvl="1" w:tplc="04100015">
      <w:start w:val="1"/>
      <w:numFmt w:val="upp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nsid w:val="39133B88"/>
    <w:multiLevelType w:val="hybridMultilevel"/>
    <w:tmpl w:val="1C72A4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B8F169D"/>
    <w:multiLevelType w:val="hybridMultilevel"/>
    <w:tmpl w:val="940E7ACA"/>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48261E7B"/>
    <w:multiLevelType w:val="hybridMultilevel"/>
    <w:tmpl w:val="10E6BA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314C5F"/>
    <w:multiLevelType w:val="hybridMultilevel"/>
    <w:tmpl w:val="35A8B980"/>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54FB6EFB"/>
    <w:multiLevelType w:val="hybridMultilevel"/>
    <w:tmpl w:val="8D8A6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240F7C"/>
    <w:multiLevelType w:val="hybridMultilevel"/>
    <w:tmpl w:val="7F4E48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5BF4B49"/>
    <w:multiLevelType w:val="hybridMultilevel"/>
    <w:tmpl w:val="A3708822"/>
    <w:lvl w:ilvl="0" w:tplc="672446CE">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5">
    <w:nsid w:val="56D33305"/>
    <w:multiLevelType w:val="hybridMultilevel"/>
    <w:tmpl w:val="CD9A4914"/>
    <w:lvl w:ilvl="0" w:tplc="04100011">
      <w:start w:val="1"/>
      <w:numFmt w:val="decimal"/>
      <w:lvlText w:val="%1)"/>
      <w:lvlJc w:val="left"/>
      <w:pPr>
        <w:ind w:left="720" w:hanging="360"/>
      </w:pPr>
      <w:rPr>
        <w:rFonts w:hint="default"/>
      </w:rPr>
    </w:lvl>
    <w:lvl w:ilvl="1" w:tplc="FC561E6A">
      <w:start w:val="1"/>
      <w:numFmt w:val="upperLetter"/>
      <w:lvlText w:val="%2)"/>
      <w:lvlJc w:val="left"/>
      <w:pPr>
        <w:ind w:left="1512" w:hanging="432"/>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7731FCA"/>
    <w:multiLevelType w:val="hybridMultilevel"/>
    <w:tmpl w:val="60AAC73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nsid w:val="58EB0701"/>
    <w:multiLevelType w:val="hybridMultilevel"/>
    <w:tmpl w:val="CC546E5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nsid w:val="5B0C1784"/>
    <w:multiLevelType w:val="hybridMultilevel"/>
    <w:tmpl w:val="98B256C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BB6123B"/>
    <w:multiLevelType w:val="hybridMultilevel"/>
    <w:tmpl w:val="4FCCA4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644"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1F6285"/>
    <w:multiLevelType w:val="hybridMultilevel"/>
    <w:tmpl w:val="9642E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31E50EF"/>
    <w:multiLevelType w:val="hybridMultilevel"/>
    <w:tmpl w:val="9EB27B14"/>
    <w:lvl w:ilvl="0" w:tplc="6C0ED47E">
      <w:start w:val="1"/>
      <w:numFmt w:val="lowerRoman"/>
      <w:lvlText w:val="(%1)"/>
      <w:lvlJc w:val="left"/>
      <w:pPr>
        <w:ind w:left="1440" w:hanging="10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5665AE"/>
    <w:multiLevelType w:val="hybridMultilevel"/>
    <w:tmpl w:val="120494DC"/>
    <w:lvl w:ilvl="0" w:tplc="04100001">
      <w:start w:val="1"/>
      <w:numFmt w:val="bullet"/>
      <w:lvlText w:val=""/>
      <w:lvlJc w:val="left"/>
      <w:pPr>
        <w:ind w:left="720" w:hanging="360"/>
      </w:pPr>
      <w:rPr>
        <w:rFonts w:ascii="Symbol" w:hAnsi="Symbol" w:hint="default"/>
      </w:rPr>
    </w:lvl>
    <w:lvl w:ilvl="1" w:tplc="35F67EFA">
      <w:start w:val="5"/>
      <w:numFmt w:val="bullet"/>
      <w:lvlText w:val="-"/>
      <w:lvlJc w:val="left"/>
      <w:pPr>
        <w:ind w:left="1440" w:hanging="360"/>
      </w:pPr>
      <w:rPr>
        <w:rFonts w:ascii="Times New Roman" w:eastAsia="Times New Roman" w:hAnsi="Times New Roman" w:cs="Times New Roman" w:hint="default"/>
      </w:rPr>
    </w:lvl>
    <w:lvl w:ilvl="2" w:tplc="04100001">
      <w:start w:val="1"/>
      <w:numFmt w:val="bullet"/>
      <w:lvlText w:val=""/>
      <w:lvlJc w:val="left"/>
      <w:pPr>
        <w:ind w:left="2160" w:hanging="360"/>
      </w:pPr>
      <w:rPr>
        <w:rFonts w:ascii="Symbol" w:hAnsi="Symbol"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BCE17D4"/>
    <w:multiLevelType w:val="hybridMultilevel"/>
    <w:tmpl w:val="ABDE085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7">
      <w:start w:val="1"/>
      <w:numFmt w:val="lowerLetter"/>
      <w:lvlText w:val="%3)"/>
      <w:lvlJc w:val="lef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6D1931D9"/>
    <w:multiLevelType w:val="hybridMultilevel"/>
    <w:tmpl w:val="044C3806"/>
    <w:lvl w:ilvl="0" w:tplc="51EC51EE">
      <w:start w:val="1"/>
      <w:numFmt w:val="lowerLetter"/>
      <w:lvlText w:val="(%1)"/>
      <w:lvlJc w:val="left"/>
      <w:pPr>
        <w:ind w:left="1287" w:hanging="360"/>
      </w:pPr>
      <w:rPr>
        <w:rFonts w:hint="default"/>
      </w:rPr>
    </w:lvl>
    <w:lvl w:ilvl="1" w:tplc="51EC51EE">
      <w:start w:val="1"/>
      <w:numFmt w:val="lowerLetter"/>
      <w:lvlText w:val="(%2)"/>
      <w:lvlJc w:val="left"/>
      <w:pPr>
        <w:ind w:left="2007" w:hanging="360"/>
      </w:pPr>
      <w:rPr>
        <w:rFonts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5">
    <w:nsid w:val="6F7F3303"/>
    <w:multiLevelType w:val="hybridMultilevel"/>
    <w:tmpl w:val="609CD9EE"/>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6">
    <w:nsid w:val="6F8063BC"/>
    <w:multiLevelType w:val="hybridMultilevel"/>
    <w:tmpl w:val="FCD6409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967634"/>
    <w:multiLevelType w:val="hybridMultilevel"/>
    <w:tmpl w:val="F806B0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0A4388"/>
    <w:multiLevelType w:val="hybridMultilevel"/>
    <w:tmpl w:val="7B32A5EA"/>
    <w:lvl w:ilvl="0" w:tplc="CE0AF0A4">
      <w:start w:val="1"/>
      <w:numFmt w:val="decimal"/>
      <w:lvlText w:val="%1."/>
      <w:lvlJc w:val="left"/>
      <w:pPr>
        <w:ind w:left="720" w:hanging="360"/>
      </w:pPr>
      <w:rPr>
        <w:rFonts w:ascii="PD4MLTimesNewRomanPS-BoldMT" w:hAnsi="PD4MLTimesNewRomanPS-BoldMT" w:cs="PD4MLTimesNewRomanPS-BoldMT"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0D40E0"/>
    <w:multiLevelType w:val="hybridMultilevel"/>
    <w:tmpl w:val="AAFAE4D2"/>
    <w:lvl w:ilvl="0" w:tplc="890CF2D6">
      <w:start w:val="9199"/>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7"/>
  </w:num>
  <w:num w:numId="2">
    <w:abstractNumId w:val="16"/>
  </w:num>
  <w:num w:numId="3">
    <w:abstractNumId w:val="24"/>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9"/>
  </w:num>
  <w:num w:numId="8">
    <w:abstractNumId w:val="3"/>
  </w:num>
  <w:num w:numId="9">
    <w:abstractNumId w:val="19"/>
  </w:num>
  <w:num w:numId="10">
    <w:abstractNumId w:val="1"/>
  </w:num>
  <w:num w:numId="11">
    <w:abstractNumId w:val="36"/>
  </w:num>
  <w:num w:numId="12">
    <w:abstractNumId w:val="11"/>
  </w:num>
  <w:num w:numId="13">
    <w:abstractNumId w:val="28"/>
  </w:num>
  <w:num w:numId="14">
    <w:abstractNumId w:val="18"/>
  </w:num>
  <w:num w:numId="15">
    <w:abstractNumId w:val="20"/>
  </w:num>
  <w:num w:numId="16">
    <w:abstractNumId w:val="38"/>
  </w:num>
  <w:num w:numId="17">
    <w:abstractNumId w:val="4"/>
  </w:num>
  <w:num w:numId="18">
    <w:abstractNumId w:val="37"/>
  </w:num>
  <w:num w:numId="19">
    <w:abstractNumId w:val="10"/>
  </w:num>
  <w:num w:numId="20">
    <w:abstractNumId w:val="32"/>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3"/>
  </w:num>
  <w:num w:numId="26">
    <w:abstractNumId w:val="30"/>
  </w:num>
  <w:num w:numId="27">
    <w:abstractNumId w:val="21"/>
  </w:num>
  <w:num w:numId="28">
    <w:abstractNumId w:val="2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5"/>
  </w:num>
  <w:num w:numId="32">
    <w:abstractNumId w:val="22"/>
  </w:num>
  <w:num w:numId="33">
    <w:abstractNumId w:val="35"/>
  </w:num>
  <w:num w:numId="34">
    <w:abstractNumId w:val="29"/>
  </w:num>
  <w:num w:numId="35">
    <w:abstractNumId w:val="31"/>
  </w:num>
  <w:num w:numId="36">
    <w:abstractNumId w:val="25"/>
  </w:num>
  <w:num w:numId="37">
    <w:abstractNumId w:val="8"/>
  </w:num>
  <w:num w:numId="38">
    <w:abstractNumId w:val="12"/>
  </w:num>
  <w:num w:numId="39">
    <w:abstractNumId w:val="34"/>
  </w:num>
  <w:num w:numId="40">
    <w:abstractNumId w:val="27"/>
  </w:num>
  <w:num w:numId="41">
    <w:abstractNumId w:val="33"/>
  </w:num>
  <w:num w:numId="42">
    <w:abstractNumId w:val="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131078" w:nlCheck="1" w:checkStyle="0"/>
  <w:activeWritingStyle w:appName="MSWord" w:lang="en-US" w:vendorID="64" w:dllVersion="131078" w:nlCheck="1" w:checkStyle="0"/>
  <w:proofState w:spelling="clean"/>
  <w:attachedTemplate r:id="rId1"/>
  <w:defaultTabStop w:val="709"/>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91"/>
    <w:rsid w:val="00023A4A"/>
    <w:rsid w:val="0004081A"/>
    <w:rsid w:val="000463F0"/>
    <w:rsid w:val="000552C3"/>
    <w:rsid w:val="00061668"/>
    <w:rsid w:val="00064839"/>
    <w:rsid w:val="00075230"/>
    <w:rsid w:val="000E2BBB"/>
    <w:rsid w:val="000E5FD3"/>
    <w:rsid w:val="001004D6"/>
    <w:rsid w:val="00114F23"/>
    <w:rsid w:val="00116A0C"/>
    <w:rsid w:val="001178F8"/>
    <w:rsid w:val="00117A87"/>
    <w:rsid w:val="00127DF8"/>
    <w:rsid w:val="0015127D"/>
    <w:rsid w:val="001520DB"/>
    <w:rsid w:val="00160762"/>
    <w:rsid w:val="001B46E2"/>
    <w:rsid w:val="001B60D2"/>
    <w:rsid w:val="001C477D"/>
    <w:rsid w:val="001C77E7"/>
    <w:rsid w:val="001D0D65"/>
    <w:rsid w:val="001F7402"/>
    <w:rsid w:val="00206C78"/>
    <w:rsid w:val="002228B2"/>
    <w:rsid w:val="002500C3"/>
    <w:rsid w:val="00261216"/>
    <w:rsid w:val="00283B91"/>
    <w:rsid w:val="0029435D"/>
    <w:rsid w:val="002B2BE1"/>
    <w:rsid w:val="002E3C24"/>
    <w:rsid w:val="002F1CDC"/>
    <w:rsid w:val="0030136D"/>
    <w:rsid w:val="00301405"/>
    <w:rsid w:val="003014ED"/>
    <w:rsid w:val="00316F62"/>
    <w:rsid w:val="0032018D"/>
    <w:rsid w:val="003549BB"/>
    <w:rsid w:val="00365991"/>
    <w:rsid w:val="00367422"/>
    <w:rsid w:val="00376188"/>
    <w:rsid w:val="003B0594"/>
    <w:rsid w:val="003B217D"/>
    <w:rsid w:val="003E3565"/>
    <w:rsid w:val="00403E2A"/>
    <w:rsid w:val="004120A4"/>
    <w:rsid w:val="00426A98"/>
    <w:rsid w:val="00427BE9"/>
    <w:rsid w:val="0044468E"/>
    <w:rsid w:val="00455BD1"/>
    <w:rsid w:val="0046311C"/>
    <w:rsid w:val="00463625"/>
    <w:rsid w:val="004664C1"/>
    <w:rsid w:val="004B1DCE"/>
    <w:rsid w:val="004F2FEE"/>
    <w:rsid w:val="005170F1"/>
    <w:rsid w:val="0055082B"/>
    <w:rsid w:val="00573B22"/>
    <w:rsid w:val="005D378D"/>
    <w:rsid w:val="00607A94"/>
    <w:rsid w:val="00632CE6"/>
    <w:rsid w:val="0064200E"/>
    <w:rsid w:val="006503C6"/>
    <w:rsid w:val="00673086"/>
    <w:rsid w:val="006736EE"/>
    <w:rsid w:val="00674DCF"/>
    <w:rsid w:val="0067665F"/>
    <w:rsid w:val="006A4DF8"/>
    <w:rsid w:val="0071324C"/>
    <w:rsid w:val="00716310"/>
    <w:rsid w:val="0071696E"/>
    <w:rsid w:val="00717397"/>
    <w:rsid w:val="0075516B"/>
    <w:rsid w:val="007768B1"/>
    <w:rsid w:val="007922E5"/>
    <w:rsid w:val="007A6A15"/>
    <w:rsid w:val="007E4984"/>
    <w:rsid w:val="007F7839"/>
    <w:rsid w:val="00804059"/>
    <w:rsid w:val="00811432"/>
    <w:rsid w:val="00822FFB"/>
    <w:rsid w:val="0082650D"/>
    <w:rsid w:val="008307B0"/>
    <w:rsid w:val="00885AC1"/>
    <w:rsid w:val="00887293"/>
    <w:rsid w:val="00895808"/>
    <w:rsid w:val="008C31B4"/>
    <w:rsid w:val="008E5D78"/>
    <w:rsid w:val="008F5697"/>
    <w:rsid w:val="008F6246"/>
    <w:rsid w:val="009035A7"/>
    <w:rsid w:val="00906A57"/>
    <w:rsid w:val="0093066A"/>
    <w:rsid w:val="00957A6F"/>
    <w:rsid w:val="00973268"/>
    <w:rsid w:val="00996244"/>
    <w:rsid w:val="009B3189"/>
    <w:rsid w:val="009B3C20"/>
    <w:rsid w:val="009C70E0"/>
    <w:rsid w:val="009E18DE"/>
    <w:rsid w:val="009E467B"/>
    <w:rsid w:val="009E6BB1"/>
    <w:rsid w:val="009F0E9C"/>
    <w:rsid w:val="009F2CBC"/>
    <w:rsid w:val="009F3EC2"/>
    <w:rsid w:val="00A02795"/>
    <w:rsid w:val="00A202CD"/>
    <w:rsid w:val="00A32BCF"/>
    <w:rsid w:val="00A33470"/>
    <w:rsid w:val="00A40A8A"/>
    <w:rsid w:val="00A44412"/>
    <w:rsid w:val="00A52019"/>
    <w:rsid w:val="00A66412"/>
    <w:rsid w:val="00A922A9"/>
    <w:rsid w:val="00B37B3C"/>
    <w:rsid w:val="00B812C6"/>
    <w:rsid w:val="00BC31DB"/>
    <w:rsid w:val="00BF1521"/>
    <w:rsid w:val="00BF4056"/>
    <w:rsid w:val="00C14904"/>
    <w:rsid w:val="00C3086B"/>
    <w:rsid w:val="00C32349"/>
    <w:rsid w:val="00C54EF1"/>
    <w:rsid w:val="00C56ECF"/>
    <w:rsid w:val="00C57DCC"/>
    <w:rsid w:val="00C6386A"/>
    <w:rsid w:val="00C67DBB"/>
    <w:rsid w:val="00C75BF7"/>
    <w:rsid w:val="00C977EE"/>
    <w:rsid w:val="00CC7FF4"/>
    <w:rsid w:val="00CD4892"/>
    <w:rsid w:val="00D033B5"/>
    <w:rsid w:val="00D1025A"/>
    <w:rsid w:val="00D57892"/>
    <w:rsid w:val="00D76DEB"/>
    <w:rsid w:val="00D831A7"/>
    <w:rsid w:val="00DE5079"/>
    <w:rsid w:val="00E15F29"/>
    <w:rsid w:val="00E17603"/>
    <w:rsid w:val="00E36B1E"/>
    <w:rsid w:val="00E45BF5"/>
    <w:rsid w:val="00E77036"/>
    <w:rsid w:val="00E85415"/>
    <w:rsid w:val="00E952A5"/>
    <w:rsid w:val="00EF06B8"/>
    <w:rsid w:val="00F01127"/>
    <w:rsid w:val="00F158DF"/>
    <w:rsid w:val="00F1681F"/>
    <w:rsid w:val="00FA47CF"/>
    <w:rsid w:val="00FC278D"/>
    <w:rsid w:val="00FE4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BCF"/>
  </w:style>
  <w:style w:type="paragraph" w:styleId="Titolo1">
    <w:name w:val="heading 1"/>
    <w:basedOn w:val="Normale"/>
    <w:next w:val="Normale"/>
    <w:qFormat/>
    <w:rsid w:val="00A32BCF"/>
    <w:pPr>
      <w:keepNext/>
      <w:outlineLvl w:val="0"/>
    </w:pPr>
    <w:rPr>
      <w:sz w:val="24"/>
    </w:rPr>
  </w:style>
  <w:style w:type="paragraph" w:styleId="Titolo2">
    <w:name w:val="heading 2"/>
    <w:basedOn w:val="Normale"/>
    <w:next w:val="Normale"/>
    <w:qFormat/>
    <w:rsid w:val="00A32BCF"/>
    <w:pPr>
      <w:keepNext/>
      <w:tabs>
        <w:tab w:val="left" w:pos="1134"/>
      </w:tabs>
      <w:jc w:val="center"/>
      <w:outlineLvl w:val="1"/>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A32BCF"/>
    <w:pPr>
      <w:tabs>
        <w:tab w:val="left" w:pos="709"/>
      </w:tabs>
    </w:pPr>
    <w:rPr>
      <w:sz w:val="24"/>
    </w:rPr>
  </w:style>
  <w:style w:type="paragraph" w:styleId="Intestazione">
    <w:name w:val="header"/>
    <w:basedOn w:val="Normale"/>
    <w:semiHidden/>
    <w:rsid w:val="00A32BCF"/>
    <w:pPr>
      <w:tabs>
        <w:tab w:val="center" w:pos="4819"/>
        <w:tab w:val="right" w:pos="9638"/>
      </w:tabs>
    </w:pPr>
  </w:style>
  <w:style w:type="paragraph" w:styleId="Pidipagina">
    <w:name w:val="footer"/>
    <w:basedOn w:val="Normale"/>
    <w:semiHidden/>
    <w:rsid w:val="00A32BCF"/>
    <w:pPr>
      <w:tabs>
        <w:tab w:val="center" w:pos="4819"/>
        <w:tab w:val="right" w:pos="9638"/>
      </w:tabs>
    </w:pPr>
  </w:style>
  <w:style w:type="character" w:styleId="Numeropagina">
    <w:name w:val="page number"/>
    <w:basedOn w:val="Carpredefinitoparagrafo"/>
    <w:semiHidden/>
    <w:rsid w:val="00A32BCF"/>
  </w:style>
  <w:style w:type="paragraph" w:styleId="Rientrocorpodeltesto">
    <w:name w:val="Body Text Indent"/>
    <w:basedOn w:val="Normale"/>
    <w:semiHidden/>
    <w:rsid w:val="00A32BCF"/>
    <w:pPr>
      <w:tabs>
        <w:tab w:val="left" w:pos="851"/>
      </w:tabs>
      <w:ind w:left="851" w:hanging="851"/>
      <w:jc w:val="both"/>
    </w:pPr>
    <w:rPr>
      <w:sz w:val="24"/>
    </w:rPr>
  </w:style>
  <w:style w:type="paragraph" w:styleId="Rientrocorpodeltesto2">
    <w:name w:val="Body Text Indent 2"/>
    <w:basedOn w:val="Normale"/>
    <w:semiHidden/>
    <w:rsid w:val="00A32BCF"/>
    <w:pPr>
      <w:ind w:firstLine="851"/>
      <w:jc w:val="both"/>
    </w:pPr>
    <w:rPr>
      <w:sz w:val="24"/>
    </w:rPr>
  </w:style>
  <w:style w:type="paragraph" w:styleId="Rientrocorpodeltesto3">
    <w:name w:val="Body Text Indent 3"/>
    <w:basedOn w:val="Normale"/>
    <w:semiHidden/>
    <w:rsid w:val="00A32BCF"/>
    <w:pPr>
      <w:tabs>
        <w:tab w:val="left" w:pos="851"/>
      </w:tabs>
      <w:ind w:left="851"/>
      <w:jc w:val="both"/>
    </w:pPr>
    <w:rPr>
      <w:b/>
      <w:bCs/>
      <w:i/>
      <w:iCs/>
      <w:color w:val="FF00FF"/>
      <w:sz w:val="24"/>
    </w:rPr>
  </w:style>
  <w:style w:type="paragraph" w:styleId="Testonotaapidipagina">
    <w:name w:val="footnote text"/>
    <w:basedOn w:val="Normale"/>
    <w:semiHidden/>
    <w:rsid w:val="00A32BCF"/>
  </w:style>
  <w:style w:type="character" w:styleId="Rimandonotaapidipagina">
    <w:name w:val="footnote reference"/>
    <w:basedOn w:val="Carpredefinitoparagrafo"/>
    <w:semiHidden/>
    <w:rsid w:val="00A32BCF"/>
    <w:rPr>
      <w:vertAlign w:val="superscript"/>
    </w:rPr>
  </w:style>
  <w:style w:type="paragraph" w:styleId="Paragrafoelenco">
    <w:name w:val="List Paragraph"/>
    <w:basedOn w:val="Normale"/>
    <w:uiPriority w:val="34"/>
    <w:qFormat/>
    <w:rsid w:val="00C6386A"/>
    <w:pPr>
      <w:ind w:left="720"/>
      <w:contextualSpacing/>
    </w:pPr>
  </w:style>
  <w:style w:type="paragraph" w:customStyle="1" w:styleId="ListArabic1">
    <w:name w:val="List Arabic 1"/>
    <w:basedOn w:val="Normale"/>
    <w:next w:val="Corpotesto"/>
    <w:rsid w:val="007F7839"/>
    <w:pPr>
      <w:tabs>
        <w:tab w:val="left" w:pos="22"/>
      </w:tabs>
      <w:spacing w:after="200" w:line="288" w:lineRule="auto"/>
      <w:jc w:val="both"/>
    </w:pPr>
    <w:rPr>
      <w:rFonts w:ascii="CG Times" w:hAnsi="CG Times"/>
      <w:sz w:val="22"/>
      <w:lang w:eastAsia="en-US"/>
    </w:rPr>
  </w:style>
  <w:style w:type="paragraph" w:customStyle="1" w:styleId="ListArabic2">
    <w:name w:val="List Arabic 2"/>
    <w:basedOn w:val="Normale"/>
    <w:next w:val="Corpodeltesto2"/>
    <w:rsid w:val="007F7839"/>
    <w:pPr>
      <w:numPr>
        <w:ilvl w:val="1"/>
        <w:numId w:val="19"/>
      </w:numPr>
      <w:tabs>
        <w:tab w:val="left" w:pos="50"/>
      </w:tabs>
      <w:spacing w:after="200" w:line="288" w:lineRule="auto"/>
      <w:jc w:val="both"/>
    </w:pPr>
    <w:rPr>
      <w:rFonts w:ascii="CG Times" w:hAnsi="CG Times"/>
      <w:sz w:val="22"/>
      <w:lang w:eastAsia="en-US"/>
    </w:rPr>
  </w:style>
  <w:style w:type="paragraph" w:customStyle="1" w:styleId="ListArabic3">
    <w:name w:val="List Arabic 3"/>
    <w:basedOn w:val="Normale"/>
    <w:next w:val="Corpodeltesto3"/>
    <w:rsid w:val="007F7839"/>
    <w:pPr>
      <w:numPr>
        <w:ilvl w:val="2"/>
        <w:numId w:val="19"/>
      </w:numPr>
      <w:tabs>
        <w:tab w:val="left" w:pos="68"/>
      </w:tabs>
      <w:spacing w:after="200" w:line="288" w:lineRule="auto"/>
      <w:jc w:val="both"/>
    </w:pPr>
    <w:rPr>
      <w:rFonts w:ascii="CG Times" w:hAnsi="CG Times"/>
      <w:sz w:val="22"/>
      <w:lang w:eastAsia="en-US"/>
    </w:rPr>
  </w:style>
  <w:style w:type="paragraph" w:styleId="Corpodeltesto2">
    <w:name w:val="Body Text 2"/>
    <w:basedOn w:val="Normale"/>
    <w:link w:val="Corpodeltesto2Carattere"/>
    <w:uiPriority w:val="99"/>
    <w:semiHidden/>
    <w:unhideWhenUsed/>
    <w:rsid w:val="007F7839"/>
    <w:pPr>
      <w:spacing w:after="120" w:line="480" w:lineRule="auto"/>
    </w:pPr>
  </w:style>
  <w:style w:type="character" w:customStyle="1" w:styleId="Corpodeltesto2Carattere">
    <w:name w:val="Corpo del testo 2 Carattere"/>
    <w:basedOn w:val="Carpredefinitoparagrafo"/>
    <w:link w:val="Corpodeltesto2"/>
    <w:uiPriority w:val="99"/>
    <w:semiHidden/>
    <w:rsid w:val="007F7839"/>
  </w:style>
  <w:style w:type="paragraph" w:styleId="Corpodeltesto3">
    <w:name w:val="Body Text 3"/>
    <w:basedOn w:val="Normale"/>
    <w:link w:val="Corpodeltesto3Carattere"/>
    <w:uiPriority w:val="99"/>
    <w:semiHidden/>
    <w:unhideWhenUsed/>
    <w:rsid w:val="007F783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F7839"/>
    <w:rPr>
      <w:sz w:val="16"/>
      <w:szCs w:val="16"/>
    </w:rPr>
  </w:style>
  <w:style w:type="paragraph" w:customStyle="1" w:styleId="Default">
    <w:name w:val="Default"/>
    <w:rsid w:val="008307B0"/>
    <w:pPr>
      <w:autoSpaceDE w:val="0"/>
      <w:autoSpaceDN w:val="0"/>
      <w:adjustRightInd w:val="0"/>
    </w:pPr>
    <w:rPr>
      <w:rFonts w:ascii="Arial" w:eastAsiaTheme="minorHAnsi" w:hAnsi="Arial" w:cs="Arial"/>
      <w:color w:val="000000"/>
      <w:sz w:val="24"/>
      <w:szCs w:val="24"/>
      <w:lang w:eastAsia="en-US"/>
    </w:rPr>
  </w:style>
  <w:style w:type="table" w:styleId="Grigliatabella">
    <w:name w:val="Table Grid"/>
    <w:basedOn w:val="Tabellanormale"/>
    <w:uiPriority w:val="59"/>
    <w:rsid w:val="0045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C70E0"/>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7A6A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6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BCF"/>
  </w:style>
  <w:style w:type="paragraph" w:styleId="Titolo1">
    <w:name w:val="heading 1"/>
    <w:basedOn w:val="Normale"/>
    <w:next w:val="Normale"/>
    <w:qFormat/>
    <w:rsid w:val="00A32BCF"/>
    <w:pPr>
      <w:keepNext/>
      <w:outlineLvl w:val="0"/>
    </w:pPr>
    <w:rPr>
      <w:sz w:val="24"/>
    </w:rPr>
  </w:style>
  <w:style w:type="paragraph" w:styleId="Titolo2">
    <w:name w:val="heading 2"/>
    <w:basedOn w:val="Normale"/>
    <w:next w:val="Normale"/>
    <w:qFormat/>
    <w:rsid w:val="00A32BCF"/>
    <w:pPr>
      <w:keepNext/>
      <w:tabs>
        <w:tab w:val="left" w:pos="1134"/>
      </w:tabs>
      <w:jc w:val="center"/>
      <w:outlineLvl w:val="1"/>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A32BCF"/>
    <w:pPr>
      <w:tabs>
        <w:tab w:val="left" w:pos="709"/>
      </w:tabs>
    </w:pPr>
    <w:rPr>
      <w:sz w:val="24"/>
    </w:rPr>
  </w:style>
  <w:style w:type="paragraph" w:styleId="Intestazione">
    <w:name w:val="header"/>
    <w:basedOn w:val="Normale"/>
    <w:semiHidden/>
    <w:rsid w:val="00A32BCF"/>
    <w:pPr>
      <w:tabs>
        <w:tab w:val="center" w:pos="4819"/>
        <w:tab w:val="right" w:pos="9638"/>
      </w:tabs>
    </w:pPr>
  </w:style>
  <w:style w:type="paragraph" w:styleId="Pidipagina">
    <w:name w:val="footer"/>
    <w:basedOn w:val="Normale"/>
    <w:semiHidden/>
    <w:rsid w:val="00A32BCF"/>
    <w:pPr>
      <w:tabs>
        <w:tab w:val="center" w:pos="4819"/>
        <w:tab w:val="right" w:pos="9638"/>
      </w:tabs>
    </w:pPr>
  </w:style>
  <w:style w:type="character" w:styleId="Numeropagina">
    <w:name w:val="page number"/>
    <w:basedOn w:val="Carpredefinitoparagrafo"/>
    <w:semiHidden/>
    <w:rsid w:val="00A32BCF"/>
  </w:style>
  <w:style w:type="paragraph" w:styleId="Rientrocorpodeltesto">
    <w:name w:val="Body Text Indent"/>
    <w:basedOn w:val="Normale"/>
    <w:semiHidden/>
    <w:rsid w:val="00A32BCF"/>
    <w:pPr>
      <w:tabs>
        <w:tab w:val="left" w:pos="851"/>
      </w:tabs>
      <w:ind w:left="851" w:hanging="851"/>
      <w:jc w:val="both"/>
    </w:pPr>
    <w:rPr>
      <w:sz w:val="24"/>
    </w:rPr>
  </w:style>
  <w:style w:type="paragraph" w:styleId="Rientrocorpodeltesto2">
    <w:name w:val="Body Text Indent 2"/>
    <w:basedOn w:val="Normale"/>
    <w:semiHidden/>
    <w:rsid w:val="00A32BCF"/>
    <w:pPr>
      <w:ind w:firstLine="851"/>
      <w:jc w:val="both"/>
    </w:pPr>
    <w:rPr>
      <w:sz w:val="24"/>
    </w:rPr>
  </w:style>
  <w:style w:type="paragraph" w:styleId="Rientrocorpodeltesto3">
    <w:name w:val="Body Text Indent 3"/>
    <w:basedOn w:val="Normale"/>
    <w:semiHidden/>
    <w:rsid w:val="00A32BCF"/>
    <w:pPr>
      <w:tabs>
        <w:tab w:val="left" w:pos="851"/>
      </w:tabs>
      <w:ind w:left="851"/>
      <w:jc w:val="both"/>
    </w:pPr>
    <w:rPr>
      <w:b/>
      <w:bCs/>
      <w:i/>
      <w:iCs/>
      <w:color w:val="FF00FF"/>
      <w:sz w:val="24"/>
    </w:rPr>
  </w:style>
  <w:style w:type="paragraph" w:styleId="Testonotaapidipagina">
    <w:name w:val="footnote text"/>
    <w:basedOn w:val="Normale"/>
    <w:semiHidden/>
    <w:rsid w:val="00A32BCF"/>
  </w:style>
  <w:style w:type="character" w:styleId="Rimandonotaapidipagina">
    <w:name w:val="footnote reference"/>
    <w:basedOn w:val="Carpredefinitoparagrafo"/>
    <w:semiHidden/>
    <w:rsid w:val="00A32BCF"/>
    <w:rPr>
      <w:vertAlign w:val="superscript"/>
    </w:rPr>
  </w:style>
  <w:style w:type="paragraph" w:styleId="Paragrafoelenco">
    <w:name w:val="List Paragraph"/>
    <w:basedOn w:val="Normale"/>
    <w:uiPriority w:val="34"/>
    <w:qFormat/>
    <w:rsid w:val="00C6386A"/>
    <w:pPr>
      <w:ind w:left="720"/>
      <w:contextualSpacing/>
    </w:pPr>
  </w:style>
  <w:style w:type="paragraph" w:customStyle="1" w:styleId="ListArabic1">
    <w:name w:val="List Arabic 1"/>
    <w:basedOn w:val="Normale"/>
    <w:next w:val="Corpotesto"/>
    <w:rsid w:val="007F7839"/>
    <w:pPr>
      <w:tabs>
        <w:tab w:val="left" w:pos="22"/>
      </w:tabs>
      <w:spacing w:after="200" w:line="288" w:lineRule="auto"/>
      <w:jc w:val="both"/>
    </w:pPr>
    <w:rPr>
      <w:rFonts w:ascii="CG Times" w:hAnsi="CG Times"/>
      <w:sz w:val="22"/>
      <w:lang w:eastAsia="en-US"/>
    </w:rPr>
  </w:style>
  <w:style w:type="paragraph" w:customStyle="1" w:styleId="ListArabic2">
    <w:name w:val="List Arabic 2"/>
    <w:basedOn w:val="Normale"/>
    <w:next w:val="Corpodeltesto2"/>
    <w:rsid w:val="007F7839"/>
    <w:pPr>
      <w:numPr>
        <w:ilvl w:val="1"/>
        <w:numId w:val="19"/>
      </w:numPr>
      <w:tabs>
        <w:tab w:val="left" w:pos="50"/>
      </w:tabs>
      <w:spacing w:after="200" w:line="288" w:lineRule="auto"/>
      <w:jc w:val="both"/>
    </w:pPr>
    <w:rPr>
      <w:rFonts w:ascii="CG Times" w:hAnsi="CG Times"/>
      <w:sz w:val="22"/>
      <w:lang w:eastAsia="en-US"/>
    </w:rPr>
  </w:style>
  <w:style w:type="paragraph" w:customStyle="1" w:styleId="ListArabic3">
    <w:name w:val="List Arabic 3"/>
    <w:basedOn w:val="Normale"/>
    <w:next w:val="Corpodeltesto3"/>
    <w:rsid w:val="007F7839"/>
    <w:pPr>
      <w:numPr>
        <w:ilvl w:val="2"/>
        <w:numId w:val="19"/>
      </w:numPr>
      <w:tabs>
        <w:tab w:val="left" w:pos="68"/>
      </w:tabs>
      <w:spacing w:after="200" w:line="288" w:lineRule="auto"/>
      <w:jc w:val="both"/>
    </w:pPr>
    <w:rPr>
      <w:rFonts w:ascii="CG Times" w:hAnsi="CG Times"/>
      <w:sz w:val="22"/>
      <w:lang w:eastAsia="en-US"/>
    </w:rPr>
  </w:style>
  <w:style w:type="paragraph" w:styleId="Corpodeltesto2">
    <w:name w:val="Body Text 2"/>
    <w:basedOn w:val="Normale"/>
    <w:link w:val="Corpodeltesto2Carattere"/>
    <w:uiPriority w:val="99"/>
    <w:semiHidden/>
    <w:unhideWhenUsed/>
    <w:rsid w:val="007F7839"/>
    <w:pPr>
      <w:spacing w:after="120" w:line="480" w:lineRule="auto"/>
    </w:pPr>
  </w:style>
  <w:style w:type="character" w:customStyle="1" w:styleId="Corpodeltesto2Carattere">
    <w:name w:val="Corpo del testo 2 Carattere"/>
    <w:basedOn w:val="Carpredefinitoparagrafo"/>
    <w:link w:val="Corpodeltesto2"/>
    <w:uiPriority w:val="99"/>
    <w:semiHidden/>
    <w:rsid w:val="007F7839"/>
  </w:style>
  <w:style w:type="paragraph" w:styleId="Corpodeltesto3">
    <w:name w:val="Body Text 3"/>
    <w:basedOn w:val="Normale"/>
    <w:link w:val="Corpodeltesto3Carattere"/>
    <w:uiPriority w:val="99"/>
    <w:semiHidden/>
    <w:unhideWhenUsed/>
    <w:rsid w:val="007F783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F7839"/>
    <w:rPr>
      <w:sz w:val="16"/>
      <w:szCs w:val="16"/>
    </w:rPr>
  </w:style>
  <w:style w:type="paragraph" w:customStyle="1" w:styleId="Default">
    <w:name w:val="Default"/>
    <w:rsid w:val="008307B0"/>
    <w:pPr>
      <w:autoSpaceDE w:val="0"/>
      <w:autoSpaceDN w:val="0"/>
      <w:adjustRightInd w:val="0"/>
    </w:pPr>
    <w:rPr>
      <w:rFonts w:ascii="Arial" w:eastAsiaTheme="minorHAnsi" w:hAnsi="Arial" w:cs="Arial"/>
      <w:color w:val="000000"/>
      <w:sz w:val="24"/>
      <w:szCs w:val="24"/>
      <w:lang w:eastAsia="en-US"/>
    </w:rPr>
  </w:style>
  <w:style w:type="table" w:styleId="Grigliatabella">
    <w:name w:val="Table Grid"/>
    <w:basedOn w:val="Tabellanormale"/>
    <w:uiPriority w:val="59"/>
    <w:rsid w:val="0045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C70E0"/>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7A6A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6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0992">
      <w:bodyDiv w:val="1"/>
      <w:marLeft w:val="0"/>
      <w:marRight w:val="0"/>
      <w:marTop w:val="0"/>
      <w:marBottom w:val="0"/>
      <w:divBdr>
        <w:top w:val="none" w:sz="0" w:space="0" w:color="auto"/>
        <w:left w:val="none" w:sz="0" w:space="0" w:color="auto"/>
        <w:bottom w:val="none" w:sz="0" w:space="0" w:color="auto"/>
        <w:right w:val="none" w:sz="0" w:space="0" w:color="auto"/>
      </w:divBdr>
    </w:div>
    <w:div w:id="249969850">
      <w:bodyDiv w:val="1"/>
      <w:marLeft w:val="0"/>
      <w:marRight w:val="0"/>
      <w:marTop w:val="0"/>
      <w:marBottom w:val="0"/>
      <w:divBdr>
        <w:top w:val="none" w:sz="0" w:space="0" w:color="auto"/>
        <w:left w:val="none" w:sz="0" w:space="0" w:color="auto"/>
        <w:bottom w:val="none" w:sz="0" w:space="0" w:color="auto"/>
        <w:right w:val="none" w:sz="0" w:space="0" w:color="auto"/>
      </w:divBdr>
    </w:div>
    <w:div w:id="784274193">
      <w:bodyDiv w:val="1"/>
      <w:marLeft w:val="0"/>
      <w:marRight w:val="0"/>
      <w:marTop w:val="0"/>
      <w:marBottom w:val="0"/>
      <w:divBdr>
        <w:top w:val="none" w:sz="0" w:space="0" w:color="auto"/>
        <w:left w:val="none" w:sz="0" w:space="0" w:color="auto"/>
        <w:bottom w:val="none" w:sz="0" w:space="0" w:color="auto"/>
        <w:right w:val="none" w:sz="0" w:space="0" w:color="auto"/>
      </w:divBdr>
    </w:div>
    <w:div w:id="1918664443">
      <w:bodyDiv w:val="1"/>
      <w:marLeft w:val="0"/>
      <w:marRight w:val="0"/>
      <w:marTop w:val="0"/>
      <w:marBottom w:val="0"/>
      <w:divBdr>
        <w:top w:val="none" w:sz="0" w:space="0" w:color="auto"/>
        <w:left w:val="none" w:sz="0" w:space="0" w:color="auto"/>
        <w:bottom w:val="none" w:sz="0" w:space="0" w:color="auto"/>
        <w:right w:val="none" w:sz="0" w:space="0" w:color="auto"/>
      </w:divBdr>
    </w:div>
    <w:div w:id="19992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isaPanceri\Dati%20applicazioni\Microsoft\Modelli\MD02_DelG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CCCA-A74A-4B05-9BE0-6872E7E5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MD02_DelGC.dot</Template>
  <TotalTime>0</TotalTime>
  <Pages>11</Pages>
  <Words>4759</Words>
  <Characters>27738</Characters>
  <Application>Microsoft Office Word</Application>
  <DocSecurity>0</DocSecurity>
  <Lines>231</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Delibera Giunta Comunale</vt:lpstr>
      <vt:lpstr>Delibera Giunta Comunale</vt:lpstr>
    </vt:vector>
  </TitlesOfParts>
  <Company>Comune di Vimercate</Company>
  <LinksUpToDate>false</LinksUpToDate>
  <CharactersWithSpaces>32433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 Giunta Comunale</dc:title>
  <dc:subject>AAGG-SG-P01-MD02.doc</dc:subject>
  <dc:creator>-</dc:creator>
  <cp:lastModifiedBy>Silvana Bianconi</cp:lastModifiedBy>
  <cp:revision>2</cp:revision>
  <cp:lastPrinted>2018-02-14T10:32:00Z</cp:lastPrinted>
  <dcterms:created xsi:type="dcterms:W3CDTF">2018-02-23T09:24:00Z</dcterms:created>
  <dcterms:modified xsi:type="dcterms:W3CDTF">2018-02-23T09:24:00Z</dcterms:modified>
</cp:coreProperties>
</file>